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60" w:rsidRDefault="00021060" w:rsidP="000210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Звіт </w:t>
      </w:r>
    </w:p>
    <w:p w:rsidR="00021060" w:rsidRPr="00D44680" w:rsidRDefault="00021060" w:rsidP="00021060">
      <w:pPr>
        <w:jc w:val="center"/>
        <w:rPr>
          <w:sz w:val="28"/>
          <w:szCs w:val="28"/>
        </w:rPr>
      </w:pPr>
      <w:r w:rsidRPr="00D44680">
        <w:rPr>
          <w:sz w:val="28"/>
          <w:szCs w:val="28"/>
        </w:rPr>
        <w:t xml:space="preserve">про виконання Загальнодержавної програми </w:t>
      </w:r>
    </w:p>
    <w:p w:rsidR="00021060" w:rsidRPr="00D44680" w:rsidRDefault="00021060" w:rsidP="00021060">
      <w:pPr>
        <w:jc w:val="center"/>
        <w:rPr>
          <w:sz w:val="28"/>
          <w:szCs w:val="28"/>
        </w:rPr>
      </w:pPr>
      <w:r w:rsidRPr="00D44680">
        <w:rPr>
          <w:sz w:val="28"/>
          <w:szCs w:val="28"/>
        </w:rPr>
        <w:t xml:space="preserve">формування національної </w:t>
      </w:r>
      <w:proofErr w:type="spellStart"/>
      <w:r w:rsidRPr="00D44680">
        <w:rPr>
          <w:sz w:val="28"/>
          <w:szCs w:val="28"/>
        </w:rPr>
        <w:t>екомережі</w:t>
      </w:r>
      <w:proofErr w:type="spellEnd"/>
      <w:r w:rsidRPr="00D44680">
        <w:rPr>
          <w:sz w:val="28"/>
          <w:szCs w:val="28"/>
        </w:rPr>
        <w:t xml:space="preserve">  на 2000-2015 роки (далі – Програма)</w:t>
      </w:r>
    </w:p>
    <w:p w:rsidR="00021060" w:rsidRDefault="00021060" w:rsidP="000210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0E50">
        <w:rPr>
          <w:sz w:val="28"/>
          <w:szCs w:val="28"/>
        </w:rPr>
        <w:t xml:space="preserve">в Чернігівській області </w:t>
      </w:r>
    </w:p>
    <w:p w:rsidR="00021060" w:rsidRPr="00316148" w:rsidRDefault="00021060" w:rsidP="00021060">
      <w:pPr>
        <w:jc w:val="center"/>
        <w:rPr>
          <w:sz w:val="10"/>
          <w:szCs w:val="10"/>
        </w:rPr>
      </w:pPr>
    </w:p>
    <w:p w:rsidR="00021060" w:rsidRPr="00BA624C" w:rsidRDefault="00021060" w:rsidP="00021060">
      <w:pPr>
        <w:ind w:firstLine="851"/>
        <w:jc w:val="both"/>
        <w:rPr>
          <w:b/>
          <w:sz w:val="28"/>
          <w:szCs w:val="28"/>
        </w:rPr>
      </w:pPr>
      <w:r w:rsidRPr="00BA624C">
        <w:rPr>
          <w:b/>
          <w:sz w:val="28"/>
          <w:szCs w:val="28"/>
        </w:rPr>
        <w:t>1. Організаційне забезпечення виконання Програми</w:t>
      </w:r>
    </w:p>
    <w:p w:rsidR="00021060" w:rsidRDefault="00021060" w:rsidP="000210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Розроблення обласних програм формування </w:t>
      </w:r>
      <w:proofErr w:type="spellStart"/>
      <w:r>
        <w:rPr>
          <w:sz w:val="28"/>
          <w:szCs w:val="28"/>
        </w:rPr>
        <w:t>екомережі</w:t>
      </w:r>
      <w:proofErr w:type="spellEnd"/>
    </w:p>
    <w:p w:rsidR="00021060" w:rsidRPr="008A499E" w:rsidRDefault="00021060" w:rsidP="00021060">
      <w:pPr>
        <w:ind w:firstLine="85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2552"/>
      </w:tblGrid>
      <w:tr w:rsidR="00021060" w:rsidRPr="00E97B27" w:rsidTr="00FE4C79">
        <w:tc>
          <w:tcPr>
            <w:tcW w:w="4253" w:type="dxa"/>
            <w:shd w:val="clear" w:color="auto" w:fill="auto"/>
            <w:vAlign w:val="center"/>
          </w:tcPr>
          <w:p w:rsidR="00021060" w:rsidRPr="00E97B27" w:rsidRDefault="00021060" w:rsidP="0071288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E97B27">
              <w:t xml:space="preserve">Програму затверджено </w:t>
            </w:r>
            <w:r w:rsidRPr="00E97B27">
              <w:rPr>
                <w:i/>
              </w:rPr>
              <w:t>(документ, номер та дата затвердження)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060" w:rsidRPr="00E97B27" w:rsidRDefault="00021060" w:rsidP="00712880">
            <w:pPr>
              <w:jc w:val="center"/>
            </w:pPr>
            <w:r w:rsidRPr="00E97B27">
              <w:t>Стан справ щодо розроблення проекту програми у 2015 році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060" w:rsidRPr="00E97B27" w:rsidRDefault="00021060" w:rsidP="00712880">
            <w:pPr>
              <w:jc w:val="center"/>
            </w:pPr>
            <w:r w:rsidRPr="00E97B27">
              <w:t>Орієнтовний термін завершення розроблення програми та подання на затвердження</w:t>
            </w:r>
          </w:p>
        </w:tc>
      </w:tr>
      <w:tr w:rsidR="00021060" w:rsidRPr="00E97B27" w:rsidTr="00FE4C79">
        <w:trPr>
          <w:trHeight w:val="1256"/>
        </w:trPr>
        <w:tc>
          <w:tcPr>
            <w:tcW w:w="4253" w:type="dxa"/>
            <w:shd w:val="clear" w:color="auto" w:fill="auto"/>
          </w:tcPr>
          <w:p w:rsidR="00021060" w:rsidRPr="00305B2A" w:rsidRDefault="00021060" w:rsidP="00987196">
            <w:r w:rsidRPr="00305B2A">
              <w:t>Програма формування національної екологічної мережі в Чернігівській області на 20</w:t>
            </w:r>
            <w:r w:rsidR="00987196">
              <w:t>0</w:t>
            </w:r>
            <w:r w:rsidRPr="00305B2A">
              <w:t xml:space="preserve">3-2015 роки, затверджена </w:t>
            </w:r>
            <w:r>
              <w:t>р</w:t>
            </w:r>
            <w:r w:rsidRPr="00305B2A">
              <w:t>ішенням Чернігівської</w:t>
            </w:r>
            <w:r w:rsidR="00987196">
              <w:t xml:space="preserve"> обласної ради від 14 серпня 200</w:t>
            </w:r>
            <w:r w:rsidRPr="00305B2A">
              <w:t>3 року</w:t>
            </w:r>
          </w:p>
        </w:tc>
        <w:tc>
          <w:tcPr>
            <w:tcW w:w="3118" w:type="dxa"/>
            <w:shd w:val="clear" w:color="auto" w:fill="auto"/>
          </w:tcPr>
          <w:p w:rsidR="00021060" w:rsidRPr="00D12065" w:rsidRDefault="00D12065" w:rsidP="00D12065">
            <w:r>
              <w:t>В</w:t>
            </w:r>
            <w:r w:rsidRPr="00D12065">
              <w:t xml:space="preserve">раховуючи постанову Кабінету Міністрів України від 22 червня 2011 р. № 704 «Про скорочення кількості та укрупнення державних цільових програм», не доцільно розроблення </w:t>
            </w:r>
            <w:r>
              <w:t xml:space="preserve"> проекту </w:t>
            </w:r>
            <w:r w:rsidRPr="00D12065">
              <w:t>Програми</w:t>
            </w:r>
            <w:r w:rsidR="00FE4C79">
              <w:t xml:space="preserve">, фінансування природоохоронних заходів буде </w:t>
            </w:r>
            <w:proofErr w:type="spellStart"/>
            <w:r w:rsidR="00FE4C79">
              <w:t>здійснюватись</w:t>
            </w:r>
            <w:proofErr w:type="spellEnd"/>
            <w:r w:rsidR="00FE4C79">
              <w:t xml:space="preserve"> відповідно до </w:t>
            </w:r>
            <w:r w:rsidR="00FE4C79" w:rsidRPr="00FE4C79">
              <w:t>«</w:t>
            </w:r>
            <w:r w:rsidR="00FE4C79" w:rsidRPr="00FE4C79">
              <w:rPr>
                <w:bCs/>
              </w:rPr>
              <w:t>Програма охорони навколишнього природного середовища Чернігівської області на 2014 -  2020 роки</w:t>
            </w:r>
            <w:r w:rsidR="00FE4C79" w:rsidRPr="00FE4C79"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060" w:rsidRPr="00E97B27" w:rsidRDefault="00021060" w:rsidP="0071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21060" w:rsidRDefault="00021060" w:rsidP="00021060">
      <w:pPr>
        <w:spacing w:line="259" w:lineRule="auto"/>
        <w:ind w:left="375"/>
        <w:jc w:val="both"/>
        <w:rPr>
          <w:sz w:val="28"/>
          <w:szCs w:val="28"/>
        </w:rPr>
      </w:pPr>
    </w:p>
    <w:p w:rsidR="00021060" w:rsidRDefault="00021060" w:rsidP="00021060">
      <w:pPr>
        <w:numPr>
          <w:ilvl w:val="1"/>
          <w:numId w:val="2"/>
        </w:numPr>
        <w:spacing w:line="259" w:lineRule="auto"/>
        <w:ind w:left="0" w:firstLine="851"/>
        <w:jc w:val="both"/>
        <w:rPr>
          <w:sz w:val="28"/>
          <w:szCs w:val="28"/>
        </w:rPr>
      </w:pPr>
      <w:r w:rsidRPr="0054001C">
        <w:rPr>
          <w:sz w:val="28"/>
          <w:szCs w:val="28"/>
        </w:rPr>
        <w:t>У 2015 році в розрізі Програми</w:t>
      </w:r>
      <w:r>
        <w:rPr>
          <w:sz w:val="28"/>
          <w:szCs w:val="28"/>
        </w:rPr>
        <w:t>,</w:t>
      </w:r>
      <w:r w:rsidRPr="0054001C">
        <w:rPr>
          <w:sz w:val="28"/>
          <w:szCs w:val="28"/>
        </w:rPr>
        <w:t xml:space="preserve"> за рахунок коштів обласного фонду охорони навколишнього природного середовища</w:t>
      </w:r>
      <w:r>
        <w:rPr>
          <w:sz w:val="28"/>
          <w:szCs w:val="28"/>
        </w:rPr>
        <w:t xml:space="preserve"> (далі – Фонд),</w:t>
      </w:r>
      <w:r w:rsidRPr="0054001C">
        <w:rPr>
          <w:sz w:val="28"/>
          <w:szCs w:val="28"/>
        </w:rPr>
        <w:t xml:space="preserve"> розроблено державний кадастр територій та об’єктів природно-заповідного фонду на загальну суму 99,9 тис. грн. та виготовлено інформаційно-охоронні знаки на об’єкти природно-заповідного фонду (199,28 тис. грн). Роботи виконано в повному обсязі.</w:t>
      </w:r>
    </w:p>
    <w:p w:rsidR="00021060" w:rsidRDefault="00021060" w:rsidP="00021060">
      <w:pPr>
        <w:numPr>
          <w:ilvl w:val="2"/>
          <w:numId w:val="2"/>
        </w:numPr>
        <w:tabs>
          <w:tab w:val="left" w:pos="1134"/>
          <w:tab w:val="left" w:pos="1560"/>
        </w:tabs>
        <w:spacing w:line="259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Програми, в 2003-2015 роках за кошти Фонду було виконано природоохоронних заходів на загальну суму </w:t>
      </w:r>
      <w:r w:rsidRPr="00E97B27">
        <w:rPr>
          <w:sz w:val="28"/>
          <w:szCs w:val="28"/>
        </w:rPr>
        <w:t>852,06</w:t>
      </w:r>
      <w:r>
        <w:rPr>
          <w:sz w:val="28"/>
          <w:szCs w:val="28"/>
        </w:rPr>
        <w:t xml:space="preserve"> тис. грн, що становить 50,5% від запланованих.</w:t>
      </w:r>
    </w:p>
    <w:p w:rsidR="00021060" w:rsidRPr="00D44680" w:rsidRDefault="00021060" w:rsidP="00021060">
      <w:pPr>
        <w:numPr>
          <w:ilvl w:val="1"/>
          <w:numId w:val="2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 фінансування заходів, спрямованих на реалізацію обласної програми (підпрограми) з формування </w:t>
      </w:r>
      <w:proofErr w:type="spellStart"/>
      <w:r w:rsidRPr="00D44680">
        <w:rPr>
          <w:sz w:val="28"/>
          <w:szCs w:val="28"/>
        </w:rPr>
        <w:t>екомережі</w:t>
      </w:r>
      <w:proofErr w:type="spellEnd"/>
      <w:r w:rsidRPr="00D44680">
        <w:rPr>
          <w:sz w:val="28"/>
          <w:szCs w:val="28"/>
        </w:rPr>
        <w:t xml:space="preserve"> </w:t>
      </w:r>
      <w:r w:rsidRPr="00D44680">
        <w:rPr>
          <w:i/>
          <w:sz w:val="28"/>
          <w:szCs w:val="28"/>
          <w:u w:val="single"/>
        </w:rPr>
        <w:t xml:space="preserve">(заходи, підставою для виконання яких була програма (підпрограма) з формування </w:t>
      </w:r>
      <w:proofErr w:type="spellStart"/>
      <w:r w:rsidRPr="00D44680">
        <w:rPr>
          <w:i/>
          <w:sz w:val="28"/>
          <w:szCs w:val="28"/>
          <w:u w:val="single"/>
        </w:rPr>
        <w:t>екомережі</w:t>
      </w:r>
      <w:proofErr w:type="spellEnd"/>
      <w:r w:rsidRPr="00D44680">
        <w:rPr>
          <w:i/>
          <w:sz w:val="28"/>
          <w:szCs w:val="28"/>
          <w:u w:val="single"/>
        </w:rPr>
        <w:t>)</w:t>
      </w:r>
      <w:r w:rsidRPr="00D44680">
        <w:rPr>
          <w:i/>
          <w:sz w:val="28"/>
          <w:szCs w:val="28"/>
        </w:rPr>
        <w:t>:</w:t>
      </w: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76"/>
        <w:gridCol w:w="1234"/>
        <w:gridCol w:w="1176"/>
        <w:gridCol w:w="1275"/>
        <w:gridCol w:w="1276"/>
        <w:gridCol w:w="1176"/>
        <w:gridCol w:w="1233"/>
      </w:tblGrid>
      <w:tr w:rsidR="00021060" w:rsidRPr="00E97B27" w:rsidTr="00712880">
        <w:tc>
          <w:tcPr>
            <w:tcW w:w="9812" w:type="dxa"/>
            <w:gridSpan w:val="8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 xml:space="preserve">Фінансування заходів щодо формування національної </w:t>
            </w:r>
            <w:proofErr w:type="spellStart"/>
            <w:r w:rsidRPr="00E97B27">
              <w:t>екомережі</w:t>
            </w:r>
            <w:proofErr w:type="spellEnd"/>
          </w:p>
          <w:p w:rsidR="00021060" w:rsidRPr="00D44680" w:rsidRDefault="00021060" w:rsidP="00712880">
            <w:pPr>
              <w:jc w:val="center"/>
            </w:pPr>
            <w:r w:rsidRPr="00D44680">
              <w:t>(тис. грн)</w:t>
            </w:r>
          </w:p>
        </w:tc>
      </w:tr>
      <w:tr w:rsidR="00021060" w:rsidRPr="00E97B27" w:rsidTr="00712880">
        <w:tc>
          <w:tcPr>
            <w:tcW w:w="2442" w:type="dxa"/>
            <w:gridSpan w:val="2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Загальний обсяг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Місцевий бюджет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у тому числі з місцевих фондів охорони навколишнього природного середовища (ОНПС)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Інші місцеві джерела фінансування</w:t>
            </w:r>
          </w:p>
        </w:tc>
      </w:tr>
      <w:tr w:rsidR="00021060" w:rsidRPr="00E66527" w:rsidTr="00712880">
        <w:trPr>
          <w:cantSplit/>
          <w:trHeight w:val="1212"/>
        </w:trPr>
        <w:tc>
          <w:tcPr>
            <w:tcW w:w="1166" w:type="dxa"/>
            <w:shd w:val="clear" w:color="auto" w:fill="auto"/>
            <w:textDirection w:val="btLr"/>
          </w:tcPr>
          <w:p w:rsidR="00021060" w:rsidRPr="00E66527" w:rsidRDefault="00021060" w:rsidP="0071288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66527">
              <w:rPr>
                <w:sz w:val="22"/>
                <w:szCs w:val="22"/>
              </w:rPr>
              <w:t>Передба</w:t>
            </w:r>
            <w:r>
              <w:rPr>
                <w:sz w:val="22"/>
                <w:szCs w:val="22"/>
              </w:rPr>
              <w:t>-</w:t>
            </w:r>
            <w:r w:rsidRPr="00E66527">
              <w:rPr>
                <w:sz w:val="22"/>
                <w:szCs w:val="22"/>
              </w:rPr>
              <w:t>чено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:rsidR="00021060" w:rsidRPr="00E66527" w:rsidRDefault="00021060" w:rsidP="0071288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66527">
              <w:rPr>
                <w:sz w:val="22"/>
                <w:szCs w:val="22"/>
              </w:rPr>
              <w:t xml:space="preserve">Фактично </w:t>
            </w:r>
            <w:proofErr w:type="spellStart"/>
            <w:r w:rsidRPr="00E66527">
              <w:rPr>
                <w:sz w:val="22"/>
                <w:szCs w:val="22"/>
              </w:rPr>
              <w:t>профінан</w:t>
            </w:r>
            <w:r>
              <w:rPr>
                <w:sz w:val="22"/>
                <w:szCs w:val="22"/>
              </w:rPr>
              <w:t>-</w:t>
            </w:r>
            <w:r w:rsidRPr="00E66527">
              <w:rPr>
                <w:sz w:val="22"/>
                <w:szCs w:val="22"/>
              </w:rPr>
              <w:t>совано</w:t>
            </w:r>
            <w:proofErr w:type="spellEnd"/>
          </w:p>
        </w:tc>
        <w:tc>
          <w:tcPr>
            <w:tcW w:w="1234" w:type="dxa"/>
            <w:shd w:val="clear" w:color="auto" w:fill="auto"/>
            <w:textDirection w:val="btLr"/>
          </w:tcPr>
          <w:p w:rsidR="00021060" w:rsidRPr="00E66527" w:rsidRDefault="00021060" w:rsidP="00712880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E66527">
              <w:rPr>
                <w:sz w:val="22"/>
                <w:szCs w:val="22"/>
              </w:rPr>
              <w:t>Передба-чено</w:t>
            </w:r>
            <w:proofErr w:type="spellEnd"/>
          </w:p>
        </w:tc>
        <w:tc>
          <w:tcPr>
            <w:tcW w:w="1176" w:type="dxa"/>
            <w:shd w:val="clear" w:color="auto" w:fill="auto"/>
            <w:textDirection w:val="btLr"/>
          </w:tcPr>
          <w:p w:rsidR="00021060" w:rsidRPr="00E66527" w:rsidRDefault="00021060" w:rsidP="0071288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66527">
              <w:rPr>
                <w:sz w:val="22"/>
                <w:szCs w:val="22"/>
              </w:rPr>
              <w:t xml:space="preserve">Фактично </w:t>
            </w:r>
            <w:proofErr w:type="spellStart"/>
            <w:r w:rsidRPr="00E66527">
              <w:rPr>
                <w:sz w:val="22"/>
                <w:szCs w:val="22"/>
              </w:rPr>
              <w:t>профінан</w:t>
            </w:r>
            <w:r>
              <w:rPr>
                <w:sz w:val="22"/>
                <w:szCs w:val="22"/>
              </w:rPr>
              <w:t>-</w:t>
            </w:r>
            <w:r w:rsidRPr="00E66527">
              <w:rPr>
                <w:sz w:val="22"/>
                <w:szCs w:val="22"/>
              </w:rPr>
              <w:t>совано</w:t>
            </w:r>
            <w:proofErr w:type="spellEnd"/>
          </w:p>
        </w:tc>
        <w:tc>
          <w:tcPr>
            <w:tcW w:w="1275" w:type="dxa"/>
            <w:shd w:val="clear" w:color="auto" w:fill="auto"/>
            <w:textDirection w:val="btLr"/>
          </w:tcPr>
          <w:p w:rsidR="00021060" w:rsidRPr="00E66527" w:rsidRDefault="00021060" w:rsidP="0071288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E66527">
              <w:rPr>
                <w:sz w:val="22"/>
                <w:szCs w:val="22"/>
              </w:rPr>
              <w:t>ередба</w:t>
            </w:r>
            <w:r>
              <w:rPr>
                <w:sz w:val="22"/>
                <w:szCs w:val="22"/>
              </w:rPr>
              <w:t>-</w:t>
            </w:r>
            <w:r w:rsidRPr="00E66527">
              <w:rPr>
                <w:sz w:val="22"/>
                <w:szCs w:val="22"/>
              </w:rPr>
              <w:t>чено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:rsidR="00021060" w:rsidRPr="00E66527" w:rsidRDefault="00021060" w:rsidP="0071288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66527">
              <w:rPr>
                <w:sz w:val="22"/>
                <w:szCs w:val="22"/>
              </w:rPr>
              <w:t xml:space="preserve">Фактично </w:t>
            </w:r>
            <w:proofErr w:type="spellStart"/>
            <w:r w:rsidRPr="00E66527">
              <w:rPr>
                <w:sz w:val="22"/>
                <w:szCs w:val="22"/>
              </w:rPr>
              <w:t>профінан</w:t>
            </w:r>
            <w:r>
              <w:rPr>
                <w:sz w:val="22"/>
                <w:szCs w:val="22"/>
              </w:rPr>
              <w:t>-</w:t>
            </w:r>
            <w:r w:rsidRPr="00E66527">
              <w:rPr>
                <w:sz w:val="22"/>
                <w:szCs w:val="22"/>
              </w:rPr>
              <w:t>совано</w:t>
            </w:r>
            <w:proofErr w:type="spellEnd"/>
          </w:p>
        </w:tc>
        <w:tc>
          <w:tcPr>
            <w:tcW w:w="1176" w:type="dxa"/>
            <w:shd w:val="clear" w:color="auto" w:fill="auto"/>
            <w:textDirection w:val="btLr"/>
          </w:tcPr>
          <w:p w:rsidR="00021060" w:rsidRPr="00E66527" w:rsidRDefault="00021060" w:rsidP="0071288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E66527">
              <w:rPr>
                <w:sz w:val="22"/>
                <w:szCs w:val="22"/>
              </w:rPr>
              <w:t>ередба</w:t>
            </w:r>
            <w:r>
              <w:rPr>
                <w:sz w:val="22"/>
                <w:szCs w:val="22"/>
              </w:rPr>
              <w:t>-</w:t>
            </w:r>
            <w:r w:rsidRPr="00E66527">
              <w:rPr>
                <w:sz w:val="22"/>
                <w:szCs w:val="22"/>
              </w:rPr>
              <w:t>чено</w:t>
            </w:r>
            <w:proofErr w:type="spellEnd"/>
          </w:p>
        </w:tc>
        <w:tc>
          <w:tcPr>
            <w:tcW w:w="1233" w:type="dxa"/>
            <w:shd w:val="clear" w:color="auto" w:fill="auto"/>
            <w:textDirection w:val="btLr"/>
          </w:tcPr>
          <w:p w:rsidR="00021060" w:rsidRPr="00E66527" w:rsidRDefault="00021060" w:rsidP="0071288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66527">
              <w:rPr>
                <w:sz w:val="22"/>
                <w:szCs w:val="22"/>
              </w:rPr>
              <w:t xml:space="preserve">Фактично </w:t>
            </w:r>
            <w:proofErr w:type="spellStart"/>
            <w:r w:rsidRPr="00E66527">
              <w:rPr>
                <w:sz w:val="22"/>
                <w:szCs w:val="22"/>
              </w:rPr>
              <w:t>профінан</w:t>
            </w:r>
            <w:r>
              <w:rPr>
                <w:sz w:val="22"/>
                <w:szCs w:val="22"/>
              </w:rPr>
              <w:t>-</w:t>
            </w:r>
            <w:r w:rsidRPr="00E66527">
              <w:rPr>
                <w:sz w:val="22"/>
                <w:szCs w:val="22"/>
              </w:rPr>
              <w:t>совано</w:t>
            </w:r>
            <w:proofErr w:type="spellEnd"/>
          </w:p>
        </w:tc>
      </w:tr>
      <w:tr w:rsidR="00021060" w:rsidRPr="00E97B27" w:rsidTr="00712880">
        <w:tc>
          <w:tcPr>
            <w:tcW w:w="1166" w:type="dxa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1</w:t>
            </w:r>
          </w:p>
        </w:tc>
        <w:tc>
          <w:tcPr>
            <w:tcW w:w="1276" w:type="dxa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2</w:t>
            </w:r>
          </w:p>
        </w:tc>
        <w:tc>
          <w:tcPr>
            <w:tcW w:w="1234" w:type="dxa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3</w:t>
            </w:r>
          </w:p>
        </w:tc>
        <w:tc>
          <w:tcPr>
            <w:tcW w:w="1176" w:type="dxa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4</w:t>
            </w:r>
          </w:p>
        </w:tc>
        <w:tc>
          <w:tcPr>
            <w:tcW w:w="1275" w:type="dxa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5</w:t>
            </w:r>
          </w:p>
        </w:tc>
        <w:tc>
          <w:tcPr>
            <w:tcW w:w="1276" w:type="dxa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6</w:t>
            </w:r>
          </w:p>
        </w:tc>
        <w:tc>
          <w:tcPr>
            <w:tcW w:w="1176" w:type="dxa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7</w:t>
            </w:r>
          </w:p>
        </w:tc>
        <w:tc>
          <w:tcPr>
            <w:tcW w:w="1233" w:type="dxa"/>
            <w:shd w:val="clear" w:color="auto" w:fill="auto"/>
          </w:tcPr>
          <w:p w:rsidR="00021060" w:rsidRPr="00E97B27" w:rsidRDefault="00021060" w:rsidP="00712880">
            <w:pPr>
              <w:jc w:val="center"/>
            </w:pPr>
            <w:r w:rsidRPr="00E97B27">
              <w:t>8</w:t>
            </w:r>
          </w:p>
        </w:tc>
      </w:tr>
      <w:tr w:rsidR="00021060" w:rsidRPr="00244F85" w:rsidTr="00712880">
        <w:tc>
          <w:tcPr>
            <w:tcW w:w="9812" w:type="dxa"/>
            <w:gridSpan w:val="8"/>
            <w:shd w:val="clear" w:color="auto" w:fill="auto"/>
          </w:tcPr>
          <w:p w:rsidR="00021060" w:rsidRPr="00244F85" w:rsidRDefault="00021060" w:rsidP="00712880">
            <w:pPr>
              <w:jc w:val="center"/>
            </w:pPr>
            <w:r w:rsidRPr="00244F85">
              <w:t>2015 рік</w:t>
            </w:r>
          </w:p>
        </w:tc>
      </w:tr>
      <w:tr w:rsidR="008072D1" w:rsidRPr="00244F85" w:rsidTr="00712880">
        <w:tc>
          <w:tcPr>
            <w:tcW w:w="1166" w:type="dxa"/>
            <w:shd w:val="clear" w:color="auto" w:fill="auto"/>
          </w:tcPr>
          <w:p w:rsidR="008072D1" w:rsidRPr="00244F85" w:rsidRDefault="008072D1" w:rsidP="00712880">
            <w:r w:rsidRPr="00244F85">
              <w:t>299,18</w:t>
            </w:r>
          </w:p>
        </w:tc>
        <w:tc>
          <w:tcPr>
            <w:tcW w:w="1276" w:type="dxa"/>
            <w:shd w:val="clear" w:color="auto" w:fill="auto"/>
          </w:tcPr>
          <w:p w:rsidR="008072D1" w:rsidRPr="00244F85" w:rsidRDefault="008072D1" w:rsidP="00712880">
            <w:r w:rsidRPr="00244F85">
              <w:t>299,18</w:t>
            </w:r>
          </w:p>
        </w:tc>
        <w:tc>
          <w:tcPr>
            <w:tcW w:w="1234" w:type="dxa"/>
            <w:shd w:val="clear" w:color="auto" w:fill="auto"/>
          </w:tcPr>
          <w:p w:rsidR="008072D1" w:rsidRPr="00244F85" w:rsidRDefault="008072D1" w:rsidP="005F0687">
            <w:r w:rsidRPr="00244F85">
              <w:t>299,18</w:t>
            </w:r>
          </w:p>
        </w:tc>
        <w:tc>
          <w:tcPr>
            <w:tcW w:w="1176" w:type="dxa"/>
            <w:shd w:val="clear" w:color="auto" w:fill="auto"/>
          </w:tcPr>
          <w:p w:rsidR="008072D1" w:rsidRPr="00244F85" w:rsidRDefault="008072D1" w:rsidP="005F0687">
            <w:r w:rsidRPr="00244F85">
              <w:t>299,18</w:t>
            </w:r>
          </w:p>
        </w:tc>
        <w:tc>
          <w:tcPr>
            <w:tcW w:w="1275" w:type="dxa"/>
            <w:shd w:val="clear" w:color="auto" w:fill="auto"/>
          </w:tcPr>
          <w:p w:rsidR="008072D1" w:rsidRPr="00244F85" w:rsidRDefault="008072D1" w:rsidP="00712880">
            <w:r w:rsidRPr="00244F85">
              <w:t>299,18</w:t>
            </w:r>
          </w:p>
        </w:tc>
        <w:tc>
          <w:tcPr>
            <w:tcW w:w="1276" w:type="dxa"/>
            <w:shd w:val="clear" w:color="auto" w:fill="auto"/>
          </w:tcPr>
          <w:p w:rsidR="008072D1" w:rsidRPr="00244F85" w:rsidRDefault="008072D1" w:rsidP="00712880">
            <w:r w:rsidRPr="00244F85">
              <w:t>299,18</w:t>
            </w:r>
          </w:p>
        </w:tc>
        <w:tc>
          <w:tcPr>
            <w:tcW w:w="1176" w:type="dxa"/>
            <w:shd w:val="clear" w:color="auto" w:fill="auto"/>
          </w:tcPr>
          <w:p w:rsidR="008072D1" w:rsidRPr="00244F85" w:rsidRDefault="008072D1" w:rsidP="00712880">
            <w:pPr>
              <w:jc w:val="center"/>
            </w:pPr>
            <w:r w:rsidRPr="00244F85">
              <w:t>-</w:t>
            </w:r>
          </w:p>
        </w:tc>
        <w:tc>
          <w:tcPr>
            <w:tcW w:w="1233" w:type="dxa"/>
            <w:shd w:val="clear" w:color="auto" w:fill="auto"/>
          </w:tcPr>
          <w:p w:rsidR="008072D1" w:rsidRPr="00244F85" w:rsidRDefault="008072D1" w:rsidP="00712880">
            <w:pPr>
              <w:jc w:val="center"/>
            </w:pPr>
            <w:r w:rsidRPr="00244F85">
              <w:t>-</w:t>
            </w:r>
          </w:p>
        </w:tc>
      </w:tr>
      <w:tr w:rsidR="00021060" w:rsidRPr="00244F85" w:rsidTr="00712880">
        <w:tc>
          <w:tcPr>
            <w:tcW w:w="9812" w:type="dxa"/>
            <w:gridSpan w:val="8"/>
            <w:shd w:val="clear" w:color="auto" w:fill="auto"/>
          </w:tcPr>
          <w:p w:rsidR="00021060" w:rsidRPr="00244F85" w:rsidRDefault="00021060" w:rsidP="00712880">
            <w:pPr>
              <w:jc w:val="center"/>
            </w:pPr>
            <w:r w:rsidRPr="00244F85">
              <w:t>2003-2015 роки</w:t>
            </w:r>
          </w:p>
        </w:tc>
      </w:tr>
      <w:tr w:rsidR="008072D1" w:rsidRPr="00244F85" w:rsidTr="00712880">
        <w:tc>
          <w:tcPr>
            <w:tcW w:w="1166" w:type="dxa"/>
            <w:shd w:val="clear" w:color="auto" w:fill="auto"/>
          </w:tcPr>
          <w:p w:rsidR="008072D1" w:rsidRPr="00244F85" w:rsidRDefault="008072D1" w:rsidP="00712880">
            <w:pPr>
              <w:jc w:val="center"/>
            </w:pPr>
            <w:r w:rsidRPr="00244F85">
              <w:t>1686,98</w:t>
            </w:r>
          </w:p>
        </w:tc>
        <w:tc>
          <w:tcPr>
            <w:tcW w:w="1276" w:type="dxa"/>
            <w:shd w:val="clear" w:color="auto" w:fill="auto"/>
          </w:tcPr>
          <w:p w:rsidR="008072D1" w:rsidRPr="00244F85" w:rsidRDefault="008072D1" w:rsidP="00712880">
            <w:pPr>
              <w:jc w:val="center"/>
            </w:pPr>
            <w:r w:rsidRPr="00244F85">
              <w:t>852,06</w:t>
            </w:r>
          </w:p>
        </w:tc>
        <w:tc>
          <w:tcPr>
            <w:tcW w:w="1234" w:type="dxa"/>
            <w:shd w:val="clear" w:color="auto" w:fill="auto"/>
          </w:tcPr>
          <w:p w:rsidR="008072D1" w:rsidRPr="00244F85" w:rsidRDefault="008072D1" w:rsidP="005F0687">
            <w:pPr>
              <w:jc w:val="center"/>
            </w:pPr>
            <w:r w:rsidRPr="00244F85">
              <w:t>1686,98</w:t>
            </w:r>
          </w:p>
        </w:tc>
        <w:tc>
          <w:tcPr>
            <w:tcW w:w="1176" w:type="dxa"/>
            <w:shd w:val="clear" w:color="auto" w:fill="auto"/>
          </w:tcPr>
          <w:p w:rsidR="008072D1" w:rsidRPr="00244F85" w:rsidRDefault="008072D1" w:rsidP="005F0687">
            <w:pPr>
              <w:jc w:val="center"/>
            </w:pPr>
            <w:r w:rsidRPr="00244F85">
              <w:t>852,06</w:t>
            </w:r>
          </w:p>
        </w:tc>
        <w:tc>
          <w:tcPr>
            <w:tcW w:w="1275" w:type="dxa"/>
            <w:shd w:val="clear" w:color="auto" w:fill="auto"/>
          </w:tcPr>
          <w:p w:rsidR="008072D1" w:rsidRPr="00244F85" w:rsidRDefault="008072D1" w:rsidP="00712880">
            <w:pPr>
              <w:jc w:val="center"/>
            </w:pPr>
            <w:r w:rsidRPr="00244F85">
              <w:t>1686,98</w:t>
            </w:r>
          </w:p>
        </w:tc>
        <w:tc>
          <w:tcPr>
            <w:tcW w:w="1276" w:type="dxa"/>
            <w:shd w:val="clear" w:color="auto" w:fill="auto"/>
          </w:tcPr>
          <w:p w:rsidR="008072D1" w:rsidRPr="00244F85" w:rsidRDefault="008072D1" w:rsidP="00712880">
            <w:pPr>
              <w:jc w:val="center"/>
            </w:pPr>
            <w:r w:rsidRPr="00244F85">
              <w:t>852,06</w:t>
            </w:r>
          </w:p>
        </w:tc>
        <w:tc>
          <w:tcPr>
            <w:tcW w:w="1176" w:type="dxa"/>
            <w:shd w:val="clear" w:color="auto" w:fill="auto"/>
          </w:tcPr>
          <w:p w:rsidR="008072D1" w:rsidRPr="00244F85" w:rsidRDefault="008072D1" w:rsidP="00712880">
            <w:pPr>
              <w:jc w:val="center"/>
            </w:pPr>
            <w:r w:rsidRPr="00244F85">
              <w:t>-</w:t>
            </w:r>
          </w:p>
        </w:tc>
        <w:tc>
          <w:tcPr>
            <w:tcW w:w="1233" w:type="dxa"/>
            <w:shd w:val="clear" w:color="auto" w:fill="auto"/>
          </w:tcPr>
          <w:p w:rsidR="008072D1" w:rsidRPr="00244F85" w:rsidRDefault="008072D1" w:rsidP="00712880">
            <w:pPr>
              <w:jc w:val="center"/>
            </w:pPr>
            <w:r w:rsidRPr="00244F85">
              <w:t>-</w:t>
            </w:r>
          </w:p>
        </w:tc>
      </w:tr>
    </w:tbl>
    <w:p w:rsidR="00021060" w:rsidRDefault="00021060" w:rsidP="00021060">
      <w:pPr>
        <w:ind w:left="375"/>
        <w:jc w:val="both"/>
        <w:rPr>
          <w:sz w:val="28"/>
          <w:szCs w:val="28"/>
        </w:rPr>
      </w:pPr>
    </w:p>
    <w:p w:rsidR="00021060" w:rsidRPr="005372B0" w:rsidRDefault="00021060" w:rsidP="00021060">
      <w:pPr>
        <w:numPr>
          <w:ilvl w:val="1"/>
          <w:numId w:val="2"/>
        </w:numPr>
        <w:ind w:left="0" w:firstLine="375"/>
        <w:jc w:val="both"/>
        <w:rPr>
          <w:sz w:val="28"/>
          <w:szCs w:val="28"/>
        </w:rPr>
      </w:pPr>
      <w:r w:rsidRPr="005372B0">
        <w:rPr>
          <w:sz w:val="28"/>
          <w:szCs w:val="28"/>
        </w:rPr>
        <w:t>Для координації діяльності органів місцевої влади</w:t>
      </w:r>
      <w:r>
        <w:rPr>
          <w:sz w:val="28"/>
          <w:szCs w:val="28"/>
        </w:rPr>
        <w:t>,</w:t>
      </w:r>
      <w:r w:rsidRPr="005372B0">
        <w:rPr>
          <w:sz w:val="28"/>
          <w:szCs w:val="28"/>
        </w:rPr>
        <w:t xml:space="preserve"> на виконання  Закону України «Про Загальнодержавну програму формування  національної екологічної мережі України на 2000-2015 роки»</w:t>
      </w:r>
      <w:r>
        <w:rPr>
          <w:sz w:val="28"/>
          <w:szCs w:val="28"/>
        </w:rPr>
        <w:t xml:space="preserve"> </w:t>
      </w:r>
      <w:r w:rsidRPr="005372B0">
        <w:rPr>
          <w:sz w:val="28"/>
          <w:szCs w:val="28"/>
        </w:rPr>
        <w:t>розпорядженням об</w:t>
      </w:r>
      <w:r>
        <w:rPr>
          <w:sz w:val="28"/>
          <w:szCs w:val="28"/>
        </w:rPr>
        <w:t>лдержадміністрації № 724 від 25.12.</w:t>
      </w:r>
      <w:r w:rsidRPr="005372B0">
        <w:rPr>
          <w:sz w:val="28"/>
          <w:szCs w:val="28"/>
        </w:rPr>
        <w:t>2001 створено обласну Координаційну раду з питань формування національної екологічної мережі та затверджено Положення про Координаційну раду.</w:t>
      </w:r>
    </w:p>
    <w:p w:rsidR="00021060" w:rsidRPr="005372B0" w:rsidRDefault="00021060" w:rsidP="0002106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23.07.2003</w:t>
      </w:r>
      <w:r w:rsidRPr="005372B0">
        <w:rPr>
          <w:sz w:val="28"/>
          <w:szCs w:val="28"/>
        </w:rPr>
        <w:t xml:space="preserve"> було проведено засідання обласної Координаційної ради з метою обговорення проекту Програми формування національної екологічної мережі в Чернігівській області на 2003-2015 роки,  прийнято рішення про позитивну оцінку Програми та пропозицію надати її на затвердження Чернігівській обласній раді.</w:t>
      </w:r>
    </w:p>
    <w:p w:rsidR="00021060" w:rsidRPr="005372B0" w:rsidRDefault="00021060" w:rsidP="00021060">
      <w:pPr>
        <w:spacing w:after="120"/>
        <w:ind w:firstLine="375"/>
        <w:jc w:val="both"/>
        <w:rPr>
          <w:sz w:val="28"/>
          <w:szCs w:val="28"/>
        </w:rPr>
      </w:pPr>
      <w:r w:rsidRPr="005372B0">
        <w:rPr>
          <w:sz w:val="28"/>
          <w:szCs w:val="28"/>
        </w:rPr>
        <w:t xml:space="preserve">Протягом 2009-2015 років вносились зміни до складу </w:t>
      </w:r>
      <w:r>
        <w:rPr>
          <w:sz w:val="28"/>
          <w:szCs w:val="28"/>
        </w:rPr>
        <w:t>К</w:t>
      </w:r>
      <w:r w:rsidRPr="005372B0">
        <w:rPr>
          <w:sz w:val="28"/>
          <w:szCs w:val="28"/>
        </w:rPr>
        <w:t>оординаційної ради.</w:t>
      </w:r>
    </w:p>
    <w:p w:rsidR="00021060" w:rsidRPr="00BA624C" w:rsidRDefault="00021060" w:rsidP="00021060">
      <w:pPr>
        <w:numPr>
          <w:ilvl w:val="0"/>
          <w:numId w:val="2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BA624C">
        <w:rPr>
          <w:b/>
          <w:sz w:val="28"/>
          <w:szCs w:val="28"/>
        </w:rPr>
        <w:t xml:space="preserve">Інформація щодо регіональних та місцевих схем формування </w:t>
      </w:r>
      <w:proofErr w:type="spellStart"/>
      <w:r w:rsidRPr="00BA624C">
        <w:rPr>
          <w:b/>
          <w:sz w:val="28"/>
          <w:szCs w:val="28"/>
        </w:rPr>
        <w:t>екомережі</w:t>
      </w:r>
      <w:proofErr w:type="spellEnd"/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50"/>
        <w:gridCol w:w="3424"/>
      </w:tblGrid>
      <w:tr w:rsidR="00021060" w:rsidRPr="00D44680" w:rsidTr="00712880">
        <w:tc>
          <w:tcPr>
            <w:tcW w:w="2660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 Затверджено  регіональну схему формування </w:t>
            </w:r>
            <w:proofErr w:type="spellStart"/>
            <w:r w:rsidRPr="00D44680">
              <w:t>екомережі</w:t>
            </w:r>
            <w:proofErr w:type="spellEnd"/>
            <w:r w:rsidRPr="00D44680">
              <w:t xml:space="preserve"> </w:t>
            </w:r>
          </w:p>
          <w:p w:rsidR="00021060" w:rsidRPr="00D44680" w:rsidRDefault="00021060" w:rsidP="00712880">
            <w:pPr>
              <w:jc w:val="both"/>
            </w:pPr>
            <w:r w:rsidRPr="00D44680">
              <w:t>(</w:t>
            </w:r>
            <w:r w:rsidRPr="00D44680">
              <w:rPr>
                <w:i/>
              </w:rPr>
              <w:t>дата і номер рішення</w:t>
            </w:r>
            <w:r w:rsidRPr="00D44680">
              <w:t xml:space="preserve">) 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Затверджено місцеві схеми формування </w:t>
            </w:r>
            <w:proofErr w:type="spellStart"/>
            <w:r w:rsidRPr="00D44680">
              <w:t>екомережі</w:t>
            </w:r>
            <w:proofErr w:type="spellEnd"/>
            <w:r w:rsidRPr="00D44680">
              <w:t xml:space="preserve"> </w:t>
            </w:r>
          </w:p>
          <w:p w:rsidR="00021060" w:rsidRPr="00D44680" w:rsidRDefault="00021060" w:rsidP="00712880">
            <w:pPr>
              <w:jc w:val="center"/>
            </w:pPr>
            <w:r w:rsidRPr="00D44680">
              <w:t>(</w:t>
            </w:r>
            <w:r w:rsidRPr="00D44680">
              <w:rPr>
                <w:i/>
              </w:rPr>
              <w:t>дата і номер рішення</w:t>
            </w:r>
            <w:r w:rsidRPr="00D44680">
              <w:t>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Стан справ щодо розроблення регіональної та місцевих схем </w:t>
            </w:r>
            <w:proofErr w:type="spellStart"/>
            <w:r w:rsidRPr="00D44680">
              <w:t>екомережі</w:t>
            </w:r>
            <w:proofErr w:type="spellEnd"/>
            <w:r w:rsidRPr="00D44680">
              <w:t xml:space="preserve"> (</w:t>
            </w:r>
            <w:r w:rsidRPr="00D44680">
              <w:rPr>
                <w:i/>
              </w:rPr>
              <w:t>указати орієнтовний термін завершення їх розроблення та подання на затвердження)</w:t>
            </w:r>
            <w:r w:rsidRPr="00D44680">
              <w:t xml:space="preserve"> </w:t>
            </w:r>
          </w:p>
        </w:tc>
      </w:tr>
      <w:tr w:rsidR="00021060" w:rsidRPr="00D44680" w:rsidTr="00712880">
        <w:tc>
          <w:tcPr>
            <w:tcW w:w="266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-</w:t>
            </w:r>
          </w:p>
        </w:tc>
        <w:tc>
          <w:tcPr>
            <w:tcW w:w="395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-</w:t>
            </w:r>
          </w:p>
        </w:tc>
        <w:tc>
          <w:tcPr>
            <w:tcW w:w="3424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>
              <w:t>2016</w:t>
            </w:r>
            <w:r w:rsidRPr="00D44680">
              <w:t xml:space="preserve"> - 201</w:t>
            </w:r>
            <w:r>
              <w:t>7</w:t>
            </w:r>
          </w:p>
        </w:tc>
      </w:tr>
    </w:tbl>
    <w:p w:rsidR="00021060" w:rsidRPr="00316148" w:rsidRDefault="00021060" w:rsidP="00021060">
      <w:pPr>
        <w:ind w:firstLine="900"/>
        <w:jc w:val="both"/>
        <w:rPr>
          <w:b/>
          <w:sz w:val="10"/>
          <w:szCs w:val="10"/>
        </w:rPr>
      </w:pPr>
    </w:p>
    <w:p w:rsidR="00021060" w:rsidRPr="00BA624C" w:rsidRDefault="00021060" w:rsidP="000210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624C">
        <w:rPr>
          <w:b/>
          <w:sz w:val="28"/>
          <w:szCs w:val="28"/>
        </w:rPr>
        <w:t xml:space="preserve">Збільшення площі національної </w:t>
      </w:r>
      <w:proofErr w:type="spellStart"/>
      <w:r w:rsidRPr="00BA624C">
        <w:rPr>
          <w:b/>
          <w:sz w:val="28"/>
          <w:szCs w:val="28"/>
        </w:rPr>
        <w:t>екомережі</w:t>
      </w:r>
      <w:proofErr w:type="spellEnd"/>
    </w:p>
    <w:p w:rsidR="00021060" w:rsidRDefault="00021060" w:rsidP="00021060">
      <w:pPr>
        <w:ind w:left="1080"/>
        <w:jc w:val="center"/>
        <w:rPr>
          <w:sz w:val="28"/>
          <w:szCs w:val="28"/>
        </w:rPr>
      </w:pPr>
      <w:r w:rsidRPr="00D44680">
        <w:rPr>
          <w:sz w:val="28"/>
          <w:szCs w:val="28"/>
        </w:rPr>
        <w:t xml:space="preserve">3.1. Склад земельних угідь, прогнозних складових </w:t>
      </w:r>
      <w:proofErr w:type="spellStart"/>
      <w:r w:rsidRPr="00D44680">
        <w:rPr>
          <w:sz w:val="28"/>
          <w:szCs w:val="28"/>
        </w:rPr>
        <w:t>екомережі</w:t>
      </w:r>
      <w:proofErr w:type="spellEnd"/>
    </w:p>
    <w:p w:rsidR="00021060" w:rsidRPr="00D44680" w:rsidRDefault="00021060" w:rsidP="00021060">
      <w:pPr>
        <w:ind w:left="10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440"/>
        <w:gridCol w:w="1260"/>
        <w:gridCol w:w="1440"/>
        <w:gridCol w:w="1800"/>
        <w:gridCol w:w="900"/>
      </w:tblGrid>
      <w:tr w:rsidR="00021060" w:rsidRPr="00D44680" w:rsidTr="00712880">
        <w:tc>
          <w:tcPr>
            <w:tcW w:w="1728" w:type="dxa"/>
            <w:vMerge w:val="restart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Площа прогнозних складових </w:t>
            </w:r>
            <w:proofErr w:type="spellStart"/>
            <w:r w:rsidRPr="00D44680">
              <w:t>екомережі</w:t>
            </w:r>
            <w:proofErr w:type="spellEnd"/>
            <w:r w:rsidRPr="00D44680">
              <w:t xml:space="preserve"> (</w:t>
            </w:r>
            <w:r w:rsidRPr="00D44680">
              <w:rPr>
                <w:i/>
              </w:rPr>
              <w:t>тис. га/ відсоток від загальної площі території)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у тому числі, </w:t>
            </w:r>
            <w:r w:rsidRPr="00D44680">
              <w:rPr>
                <w:i/>
              </w:rPr>
              <w:t>тис. га</w:t>
            </w:r>
            <w:r w:rsidRPr="00D44680">
              <w:t>:</w:t>
            </w:r>
          </w:p>
        </w:tc>
      </w:tr>
      <w:tr w:rsidR="00021060" w:rsidRPr="00D44680" w:rsidTr="00712880">
        <w:tc>
          <w:tcPr>
            <w:tcW w:w="1728" w:type="dxa"/>
            <w:vMerge/>
            <w:shd w:val="clear" w:color="auto" w:fill="auto"/>
            <w:vAlign w:val="center"/>
          </w:tcPr>
          <w:p w:rsidR="00021060" w:rsidRPr="00D44680" w:rsidRDefault="00021060" w:rsidP="00712880"/>
        </w:tc>
        <w:tc>
          <w:tcPr>
            <w:tcW w:w="1080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proofErr w:type="spellStart"/>
            <w:r w:rsidRPr="00D44680">
              <w:t>Сіножа</w:t>
            </w:r>
            <w:proofErr w:type="spellEnd"/>
            <w:r>
              <w:t>-</w:t>
            </w:r>
            <w:r w:rsidRPr="00D44680">
              <w:t xml:space="preserve">ті та </w:t>
            </w:r>
            <w:proofErr w:type="spellStart"/>
            <w:r w:rsidRPr="00D44680">
              <w:t>пасови</w:t>
            </w:r>
            <w:r>
              <w:t>-</w:t>
            </w:r>
            <w:r w:rsidRPr="00D44680">
              <w:t>ща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Ліси та </w:t>
            </w:r>
            <w:proofErr w:type="spellStart"/>
            <w:r w:rsidRPr="00D44680">
              <w:t>лісовкриті</w:t>
            </w:r>
            <w:proofErr w:type="spellEnd"/>
            <w:r w:rsidRPr="00D44680">
              <w:t xml:space="preserve"> площі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Відкриті заболочені землі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Радіоактивно забруднені землі, що не </w:t>
            </w:r>
            <w:proofErr w:type="spellStart"/>
            <w:r w:rsidRPr="00D44680">
              <w:t>використо-вуються</w:t>
            </w:r>
            <w:proofErr w:type="spellEnd"/>
            <w:r w:rsidRPr="00D44680">
              <w:t xml:space="preserve"> у господар</w:t>
            </w:r>
            <w:r>
              <w:t>-</w:t>
            </w:r>
            <w:proofErr w:type="spellStart"/>
            <w:r w:rsidRPr="00D44680">
              <w:t>стві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Відкриті землі без рослинного покриву або з незначним рослинним покривом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Води</w:t>
            </w:r>
          </w:p>
        </w:tc>
      </w:tr>
      <w:tr w:rsidR="00021060" w:rsidRPr="00D44680" w:rsidTr="00712880">
        <w:tc>
          <w:tcPr>
            <w:tcW w:w="9648" w:type="dxa"/>
            <w:gridSpan w:val="7"/>
            <w:shd w:val="clear" w:color="auto" w:fill="auto"/>
          </w:tcPr>
          <w:p w:rsidR="00021060" w:rsidRPr="00D44680" w:rsidRDefault="00021060" w:rsidP="00712880">
            <w:r w:rsidRPr="00D44680">
              <w:t>станом на 01.01.2016</w:t>
            </w:r>
          </w:p>
        </w:tc>
      </w:tr>
      <w:tr w:rsidR="00021060" w:rsidRPr="00D44680" w:rsidTr="00712880">
        <w:tc>
          <w:tcPr>
            <w:tcW w:w="1728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1555/ 49%</w:t>
            </w:r>
          </w:p>
        </w:tc>
        <w:tc>
          <w:tcPr>
            <w:tcW w:w="108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589,0</w:t>
            </w:r>
          </w:p>
        </w:tc>
        <w:tc>
          <w:tcPr>
            <w:tcW w:w="144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740,5</w:t>
            </w:r>
          </w:p>
        </w:tc>
        <w:tc>
          <w:tcPr>
            <w:tcW w:w="126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129,7</w:t>
            </w:r>
          </w:p>
        </w:tc>
        <w:tc>
          <w:tcPr>
            <w:tcW w:w="144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-</w:t>
            </w:r>
          </w:p>
        </w:tc>
        <w:tc>
          <w:tcPr>
            <w:tcW w:w="180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27,8</w:t>
            </w:r>
          </w:p>
        </w:tc>
        <w:tc>
          <w:tcPr>
            <w:tcW w:w="90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68,0</w:t>
            </w:r>
          </w:p>
        </w:tc>
      </w:tr>
      <w:tr w:rsidR="00021060" w:rsidRPr="00D44680" w:rsidTr="00712880">
        <w:tc>
          <w:tcPr>
            <w:tcW w:w="9648" w:type="dxa"/>
            <w:gridSpan w:val="7"/>
            <w:shd w:val="clear" w:color="auto" w:fill="auto"/>
          </w:tcPr>
          <w:p w:rsidR="00021060" w:rsidRPr="00D44680" w:rsidRDefault="00021060" w:rsidP="00712880">
            <w:r w:rsidRPr="00D44680">
              <w:t>станом на 01.01.2001</w:t>
            </w:r>
          </w:p>
        </w:tc>
      </w:tr>
      <w:tr w:rsidR="00021060" w:rsidRPr="00D44680" w:rsidTr="00712880">
        <w:tc>
          <w:tcPr>
            <w:tcW w:w="1728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1553/ 49%</w:t>
            </w:r>
          </w:p>
        </w:tc>
        <w:tc>
          <w:tcPr>
            <w:tcW w:w="108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626,9</w:t>
            </w:r>
          </w:p>
        </w:tc>
        <w:tc>
          <w:tcPr>
            <w:tcW w:w="144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713,0</w:t>
            </w:r>
          </w:p>
        </w:tc>
        <w:tc>
          <w:tcPr>
            <w:tcW w:w="126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118,6</w:t>
            </w:r>
          </w:p>
        </w:tc>
        <w:tc>
          <w:tcPr>
            <w:tcW w:w="144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27,8</w:t>
            </w:r>
          </w:p>
        </w:tc>
        <w:tc>
          <w:tcPr>
            <w:tcW w:w="900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67,5</w:t>
            </w:r>
          </w:p>
        </w:tc>
      </w:tr>
    </w:tbl>
    <w:p w:rsidR="00021060" w:rsidRDefault="00021060" w:rsidP="00021060">
      <w:pPr>
        <w:ind w:left="1080"/>
        <w:jc w:val="both"/>
        <w:rPr>
          <w:sz w:val="28"/>
          <w:szCs w:val="28"/>
        </w:rPr>
      </w:pPr>
    </w:p>
    <w:p w:rsidR="00021060" w:rsidRPr="00FC237B" w:rsidRDefault="00021060" w:rsidP="0002106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2010 році р</w:t>
      </w:r>
      <w:r w:rsidRPr="00B65065">
        <w:rPr>
          <w:sz w:val="28"/>
          <w:szCs w:val="28"/>
        </w:rPr>
        <w:t>озроб</w:t>
      </w:r>
      <w:r>
        <w:rPr>
          <w:sz w:val="28"/>
          <w:szCs w:val="28"/>
        </w:rPr>
        <w:t>лено</w:t>
      </w:r>
      <w:r w:rsidRPr="00B65065">
        <w:rPr>
          <w:sz w:val="28"/>
          <w:szCs w:val="28"/>
        </w:rPr>
        <w:t xml:space="preserve"> проект створення національного природного парку «</w:t>
      </w:r>
      <w:proofErr w:type="spellStart"/>
      <w:r w:rsidRPr="00B65065">
        <w:rPr>
          <w:sz w:val="28"/>
          <w:szCs w:val="28"/>
        </w:rPr>
        <w:t>Дніпровсько</w:t>
      </w:r>
      <w:proofErr w:type="spellEnd"/>
      <w:r w:rsidRPr="00B65065">
        <w:rPr>
          <w:sz w:val="28"/>
          <w:szCs w:val="28"/>
        </w:rPr>
        <w:t>-Деснянське міжріччя»</w:t>
      </w:r>
      <w:r>
        <w:rPr>
          <w:sz w:val="28"/>
          <w:szCs w:val="28"/>
        </w:rPr>
        <w:t xml:space="preserve"> на загальну суму 99,0 тис. грн.</w:t>
      </w:r>
    </w:p>
    <w:p w:rsidR="00021060" w:rsidRDefault="00021060" w:rsidP="00021060">
      <w:pPr>
        <w:ind w:firstLine="709"/>
        <w:jc w:val="both"/>
        <w:rPr>
          <w:sz w:val="28"/>
          <w:szCs w:val="28"/>
        </w:rPr>
      </w:pPr>
      <w:r w:rsidRPr="00D44680">
        <w:rPr>
          <w:sz w:val="28"/>
          <w:szCs w:val="28"/>
        </w:rPr>
        <w:t>3.2.1.Створення і розширення територій та об’єктів природно-заповідного фонду.</w:t>
      </w:r>
    </w:p>
    <w:p w:rsidR="00021060" w:rsidRPr="00D44680" w:rsidRDefault="00021060" w:rsidP="00021060">
      <w:pPr>
        <w:ind w:firstLine="709"/>
        <w:jc w:val="both"/>
        <w:rPr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774"/>
        <w:gridCol w:w="3190"/>
        <w:gridCol w:w="3448"/>
      </w:tblGrid>
      <w:tr w:rsidR="00021060" w:rsidRPr="00D44680" w:rsidTr="00712880">
        <w:tc>
          <w:tcPr>
            <w:tcW w:w="3369" w:type="dxa"/>
            <w:gridSpan w:val="2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rPr>
                <w:sz w:val="16"/>
                <w:szCs w:val="16"/>
              </w:rPr>
              <w:t xml:space="preserve"> </w:t>
            </w:r>
            <w:r w:rsidRPr="00D44680">
              <w:t>Площа (</w:t>
            </w:r>
            <w:proofErr w:type="spellStart"/>
            <w:r w:rsidRPr="00D44680">
              <w:t>тис.га</w:t>
            </w:r>
            <w:proofErr w:type="spellEnd"/>
            <w:r w:rsidRPr="00D44680">
              <w:t>)  та відсоток заповідних територій від загальної площі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Розширено у 2015 році існуючі заповідні об’єкти   (</w:t>
            </w:r>
            <w:r w:rsidRPr="00D44680">
              <w:rPr>
                <w:i/>
              </w:rPr>
              <w:t>назва ПЗФ, на яку площу розширено, документ, номер та дата затвердження</w:t>
            </w:r>
            <w:r w:rsidRPr="00D44680">
              <w:t>)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Створено у 2015 році нових об’єктів  ПЗФ (</w:t>
            </w:r>
            <w:r w:rsidRPr="00D44680">
              <w:rPr>
                <w:i/>
              </w:rPr>
              <w:t>назва, площа,  документ, номер та дата затвердження</w:t>
            </w:r>
            <w:r w:rsidRPr="00D44680">
              <w:t xml:space="preserve">) </w:t>
            </w:r>
          </w:p>
        </w:tc>
      </w:tr>
      <w:tr w:rsidR="00021060" w:rsidRPr="00D44680" w:rsidTr="00712880">
        <w:tc>
          <w:tcPr>
            <w:tcW w:w="1595" w:type="dxa"/>
            <w:shd w:val="clear" w:color="auto" w:fill="auto"/>
          </w:tcPr>
          <w:p w:rsidR="00021060" w:rsidRPr="00D44680" w:rsidRDefault="00021060" w:rsidP="00712880">
            <w:pPr>
              <w:rPr>
                <w:sz w:val="26"/>
                <w:szCs w:val="26"/>
              </w:rPr>
            </w:pPr>
            <w:r w:rsidRPr="00D44680">
              <w:rPr>
                <w:sz w:val="26"/>
                <w:szCs w:val="26"/>
              </w:rPr>
              <w:t>станом на 01.01.2001</w:t>
            </w:r>
          </w:p>
        </w:tc>
        <w:tc>
          <w:tcPr>
            <w:tcW w:w="1774" w:type="dxa"/>
            <w:shd w:val="clear" w:color="auto" w:fill="auto"/>
          </w:tcPr>
          <w:p w:rsidR="00021060" w:rsidRPr="00D44680" w:rsidRDefault="00021060" w:rsidP="00712880">
            <w:pPr>
              <w:rPr>
                <w:sz w:val="26"/>
                <w:szCs w:val="26"/>
              </w:rPr>
            </w:pPr>
            <w:r w:rsidRPr="00D44680">
              <w:rPr>
                <w:sz w:val="26"/>
                <w:szCs w:val="26"/>
              </w:rPr>
              <w:t>станом на 01.01.2016</w:t>
            </w:r>
          </w:p>
        </w:tc>
        <w:tc>
          <w:tcPr>
            <w:tcW w:w="3190" w:type="dxa"/>
            <w:vMerge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021060" w:rsidRPr="00D44680" w:rsidRDefault="00021060" w:rsidP="00712880">
            <w:pPr>
              <w:jc w:val="center"/>
            </w:pPr>
          </w:p>
        </w:tc>
      </w:tr>
      <w:tr w:rsidR="00021060" w:rsidRPr="00D44680" w:rsidTr="00712880">
        <w:tc>
          <w:tcPr>
            <w:tcW w:w="1595" w:type="dxa"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  <w:r w:rsidRPr="00D44680">
              <w:rPr>
                <w:sz w:val="26"/>
                <w:szCs w:val="26"/>
              </w:rPr>
              <w:t>127,7 - 4%</w:t>
            </w:r>
          </w:p>
        </w:tc>
        <w:tc>
          <w:tcPr>
            <w:tcW w:w="1774" w:type="dxa"/>
            <w:shd w:val="clear" w:color="auto" w:fill="auto"/>
          </w:tcPr>
          <w:p w:rsidR="00021060" w:rsidRPr="00D44680" w:rsidRDefault="00021060" w:rsidP="00712880">
            <w:pPr>
              <w:rPr>
                <w:sz w:val="28"/>
                <w:szCs w:val="28"/>
              </w:rPr>
            </w:pPr>
            <w:r w:rsidRPr="00D44680">
              <w:rPr>
                <w:sz w:val="26"/>
                <w:szCs w:val="26"/>
              </w:rPr>
              <w:t>260,7 - 7,8%</w:t>
            </w:r>
          </w:p>
        </w:tc>
        <w:tc>
          <w:tcPr>
            <w:tcW w:w="3190" w:type="dxa"/>
            <w:shd w:val="clear" w:color="auto" w:fill="auto"/>
          </w:tcPr>
          <w:p w:rsidR="00021060" w:rsidRPr="00D44680" w:rsidRDefault="00021060" w:rsidP="00712880">
            <w:r w:rsidRPr="00D44680">
              <w:t>Розширено межі регіонального ландшафтного парку «Ніжинський», на 2389,6343 га, рішенням Чернігівської обласної ради (двадцять восьма сесія шостого скликання) від 10.09.2015</w:t>
            </w:r>
          </w:p>
        </w:tc>
        <w:tc>
          <w:tcPr>
            <w:tcW w:w="3448" w:type="dxa"/>
            <w:shd w:val="clear" w:color="auto" w:fill="auto"/>
          </w:tcPr>
          <w:p w:rsidR="00021060" w:rsidRPr="00D44680" w:rsidRDefault="00021060" w:rsidP="00712880">
            <w:r w:rsidRPr="00D44680">
              <w:t>Регіональний ландшафтний парк «Ніжинський», площею 3733,0648 га, рішенням Чернігівської обласної ради (двадцять п’ята (позачергова) сесія шостого скликання) від 28.05.2015</w:t>
            </w:r>
          </w:p>
        </w:tc>
      </w:tr>
    </w:tbl>
    <w:p w:rsidR="00021060" w:rsidRPr="00C145FE" w:rsidRDefault="00021060" w:rsidP="00021060">
      <w:pPr>
        <w:jc w:val="both"/>
        <w:rPr>
          <w:sz w:val="16"/>
          <w:szCs w:val="16"/>
        </w:rPr>
      </w:pPr>
    </w:p>
    <w:p w:rsidR="00021060" w:rsidRDefault="00021060" w:rsidP="00021060">
      <w:pPr>
        <w:ind w:firstLine="567"/>
        <w:jc w:val="both"/>
        <w:rPr>
          <w:sz w:val="28"/>
          <w:szCs w:val="28"/>
        </w:rPr>
      </w:pPr>
      <w:r w:rsidRPr="00BC0B27">
        <w:rPr>
          <w:sz w:val="28"/>
          <w:szCs w:val="28"/>
        </w:rPr>
        <w:lastRenderedPageBreak/>
        <w:t xml:space="preserve">3.2.2. Встановлення в натурі (на місцевості) меж територій та об’єктів природно-заповідного фонду загальнодержавного та місцевого значення станом на 01.01.2016 та у 2015 заходи не проводилось.  </w:t>
      </w:r>
    </w:p>
    <w:p w:rsidR="00021060" w:rsidRDefault="00021060" w:rsidP="00021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У 2015 році, на суму 99,9 тис. грн, здійснено ведення державного кадастру територій та об’єктів природно-заповідного фонду. </w:t>
      </w:r>
    </w:p>
    <w:p w:rsidR="00021060" w:rsidRPr="00BA624C" w:rsidRDefault="00021060" w:rsidP="00021060">
      <w:pPr>
        <w:ind w:firstLine="567"/>
        <w:jc w:val="both"/>
        <w:rPr>
          <w:sz w:val="28"/>
          <w:szCs w:val="28"/>
        </w:rPr>
      </w:pPr>
      <w:r w:rsidRPr="00BA624C">
        <w:rPr>
          <w:sz w:val="28"/>
          <w:szCs w:val="28"/>
        </w:rPr>
        <w:t xml:space="preserve">3.3. Збільшено площі лісів та інших </w:t>
      </w:r>
      <w:proofErr w:type="spellStart"/>
      <w:r w:rsidRPr="00BA624C">
        <w:rPr>
          <w:sz w:val="28"/>
          <w:szCs w:val="28"/>
        </w:rPr>
        <w:t>лісовкритих</w:t>
      </w:r>
      <w:proofErr w:type="spellEnd"/>
      <w:r w:rsidRPr="00BA624C">
        <w:rPr>
          <w:sz w:val="28"/>
          <w:szCs w:val="28"/>
        </w:rPr>
        <w:t xml:space="preserve"> площ, зелених насаджень </w:t>
      </w:r>
    </w:p>
    <w:p w:rsidR="00021060" w:rsidRPr="00316148" w:rsidRDefault="00021060" w:rsidP="00021060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420"/>
      </w:tblGrid>
      <w:tr w:rsidR="00021060" w:rsidRPr="007069B5" w:rsidTr="00712880">
        <w:tc>
          <w:tcPr>
            <w:tcW w:w="4248" w:type="dxa"/>
            <w:shd w:val="clear" w:color="auto" w:fill="auto"/>
          </w:tcPr>
          <w:p w:rsidR="00021060" w:rsidRPr="007069B5" w:rsidRDefault="00021060" w:rsidP="00712880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021060" w:rsidRPr="00AF310F" w:rsidRDefault="00021060" w:rsidP="00712880">
            <w:pPr>
              <w:jc w:val="center"/>
            </w:pPr>
            <w:r>
              <w:t>з</w:t>
            </w:r>
            <w:r w:rsidRPr="00AF310F">
              <w:t>дійснено у 2015 році</w:t>
            </w:r>
          </w:p>
        </w:tc>
      </w:tr>
      <w:tr w:rsidR="00021060" w:rsidRPr="006C52C7" w:rsidTr="00712880">
        <w:tc>
          <w:tcPr>
            <w:tcW w:w="4248" w:type="dxa"/>
            <w:shd w:val="clear" w:color="auto" w:fill="auto"/>
          </w:tcPr>
          <w:p w:rsidR="00021060" w:rsidRPr="006C52C7" w:rsidRDefault="00021060" w:rsidP="00712880">
            <w:pPr>
              <w:jc w:val="both"/>
            </w:pPr>
            <w:r w:rsidRPr="006C52C7">
              <w:t>Відновлення лісів</w:t>
            </w:r>
          </w:p>
        </w:tc>
        <w:tc>
          <w:tcPr>
            <w:tcW w:w="3420" w:type="dxa"/>
            <w:shd w:val="clear" w:color="auto" w:fill="auto"/>
          </w:tcPr>
          <w:p w:rsidR="00021060" w:rsidRPr="00CC3872" w:rsidRDefault="00021060" w:rsidP="00712880">
            <w:pPr>
              <w:jc w:val="center"/>
              <w:rPr>
                <w:b/>
              </w:rPr>
            </w:pPr>
            <w:r>
              <w:t>2918</w:t>
            </w:r>
          </w:p>
        </w:tc>
      </w:tr>
      <w:tr w:rsidR="00021060" w:rsidRPr="006C52C7" w:rsidTr="00712880">
        <w:tc>
          <w:tcPr>
            <w:tcW w:w="4248" w:type="dxa"/>
            <w:shd w:val="clear" w:color="auto" w:fill="auto"/>
          </w:tcPr>
          <w:p w:rsidR="00021060" w:rsidRPr="006C52C7" w:rsidRDefault="00021060" w:rsidP="00712880">
            <w:pPr>
              <w:jc w:val="both"/>
            </w:pPr>
            <w:r w:rsidRPr="006C52C7">
              <w:t xml:space="preserve">Лісорозведення , у </w:t>
            </w:r>
            <w:proofErr w:type="spellStart"/>
            <w:r w:rsidRPr="006C52C7">
              <w:t>т.ч</w:t>
            </w:r>
            <w:proofErr w:type="spellEnd"/>
            <w:r w:rsidRPr="006C52C7">
              <w:t>. створено</w:t>
            </w:r>
          </w:p>
        </w:tc>
        <w:tc>
          <w:tcPr>
            <w:tcW w:w="3420" w:type="dxa"/>
            <w:shd w:val="clear" w:color="auto" w:fill="auto"/>
          </w:tcPr>
          <w:p w:rsidR="00021060" w:rsidRPr="00CC3872" w:rsidRDefault="00021060" w:rsidP="00712880">
            <w:pPr>
              <w:jc w:val="center"/>
              <w:rPr>
                <w:b/>
              </w:rPr>
            </w:pPr>
            <w:r>
              <w:t>209</w:t>
            </w:r>
          </w:p>
        </w:tc>
      </w:tr>
      <w:tr w:rsidR="00021060" w:rsidRPr="007069B5" w:rsidTr="00712880">
        <w:tc>
          <w:tcPr>
            <w:tcW w:w="4248" w:type="dxa"/>
            <w:shd w:val="clear" w:color="auto" w:fill="auto"/>
          </w:tcPr>
          <w:p w:rsidR="00021060" w:rsidRPr="007069B5" w:rsidRDefault="00021060" w:rsidP="00712880">
            <w:pPr>
              <w:jc w:val="both"/>
            </w:pPr>
            <w:r w:rsidRPr="007069B5">
              <w:t>захисні лісові насадження</w:t>
            </w:r>
          </w:p>
        </w:tc>
        <w:tc>
          <w:tcPr>
            <w:tcW w:w="3420" w:type="dxa"/>
            <w:shd w:val="clear" w:color="auto" w:fill="auto"/>
          </w:tcPr>
          <w:p w:rsidR="00021060" w:rsidRPr="00CC3872" w:rsidRDefault="00021060" w:rsidP="00712880">
            <w:pPr>
              <w:jc w:val="center"/>
              <w:rPr>
                <w:b/>
              </w:rPr>
            </w:pPr>
            <w:r>
              <w:t>209</w:t>
            </w:r>
          </w:p>
        </w:tc>
      </w:tr>
      <w:tr w:rsidR="00021060" w:rsidRPr="007069B5" w:rsidTr="00712880">
        <w:tc>
          <w:tcPr>
            <w:tcW w:w="4248" w:type="dxa"/>
            <w:shd w:val="clear" w:color="auto" w:fill="auto"/>
          </w:tcPr>
          <w:p w:rsidR="00021060" w:rsidRPr="007069B5" w:rsidRDefault="00021060" w:rsidP="00712880">
            <w:pPr>
              <w:jc w:val="both"/>
            </w:pPr>
            <w:r w:rsidRPr="007069B5">
              <w:t>полезахисні лісові смуги</w:t>
            </w:r>
          </w:p>
        </w:tc>
        <w:tc>
          <w:tcPr>
            <w:tcW w:w="3420" w:type="dxa"/>
            <w:shd w:val="clear" w:color="auto" w:fill="auto"/>
          </w:tcPr>
          <w:p w:rsidR="00021060" w:rsidRPr="00CC3872" w:rsidRDefault="00021060" w:rsidP="00712880">
            <w:pPr>
              <w:jc w:val="center"/>
              <w:rPr>
                <w:b/>
              </w:rPr>
            </w:pPr>
            <w:r w:rsidRPr="00CC3872">
              <w:rPr>
                <w:b/>
              </w:rPr>
              <w:t>-</w:t>
            </w:r>
          </w:p>
        </w:tc>
      </w:tr>
      <w:tr w:rsidR="00021060" w:rsidRPr="006C52C7" w:rsidTr="00712880">
        <w:tc>
          <w:tcPr>
            <w:tcW w:w="4248" w:type="dxa"/>
            <w:shd w:val="clear" w:color="auto" w:fill="auto"/>
          </w:tcPr>
          <w:p w:rsidR="00021060" w:rsidRPr="006C52C7" w:rsidRDefault="00021060" w:rsidP="00712880">
            <w:pPr>
              <w:jc w:val="both"/>
            </w:pPr>
            <w:r w:rsidRPr="006C52C7">
              <w:t>Зелені насадження у населених пунктах</w:t>
            </w:r>
          </w:p>
        </w:tc>
        <w:tc>
          <w:tcPr>
            <w:tcW w:w="3420" w:type="dxa"/>
            <w:shd w:val="clear" w:color="auto" w:fill="auto"/>
          </w:tcPr>
          <w:p w:rsidR="00021060" w:rsidRPr="00CC3872" w:rsidRDefault="00021060" w:rsidP="007128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21060" w:rsidRPr="00316148" w:rsidRDefault="00021060" w:rsidP="00021060">
      <w:pPr>
        <w:jc w:val="both"/>
        <w:rPr>
          <w:sz w:val="10"/>
          <w:szCs w:val="10"/>
        </w:rPr>
      </w:pPr>
    </w:p>
    <w:p w:rsidR="00021060" w:rsidRPr="004E76EC" w:rsidRDefault="00021060" w:rsidP="0002106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76EC">
        <w:rPr>
          <w:sz w:val="28"/>
          <w:szCs w:val="28"/>
        </w:rPr>
        <w:t>Охорона та відтворення земельних ресурсів</w:t>
      </w:r>
      <w:r>
        <w:rPr>
          <w:sz w:val="28"/>
          <w:szCs w:val="28"/>
        </w:rPr>
        <w:t xml:space="preserve"> з</w:t>
      </w:r>
      <w:r w:rsidRPr="004E76EC">
        <w:rPr>
          <w:sz w:val="28"/>
          <w:szCs w:val="28"/>
        </w:rPr>
        <w:t xml:space="preserve"> 2010 року по 01.01.2016 законсервовано 281,0 га, рекультивовано 14,0079 га.</w:t>
      </w:r>
    </w:p>
    <w:p w:rsidR="00021060" w:rsidRPr="00F15B30" w:rsidRDefault="00021060" w:rsidP="00021060">
      <w:pPr>
        <w:jc w:val="both"/>
        <w:rPr>
          <w:color w:val="FF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76"/>
        <w:gridCol w:w="1276"/>
        <w:gridCol w:w="1276"/>
        <w:gridCol w:w="1134"/>
        <w:gridCol w:w="1125"/>
        <w:gridCol w:w="9"/>
        <w:gridCol w:w="3118"/>
      </w:tblGrid>
      <w:tr w:rsidR="00021060" w:rsidRPr="00D44680" w:rsidTr="00712880">
        <w:trPr>
          <w:trHeight w:val="825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Загальна площа (га) деградованих та забруднених земель, </w:t>
            </w:r>
          </w:p>
        </w:tc>
        <w:tc>
          <w:tcPr>
            <w:tcW w:w="5386" w:type="dxa"/>
            <w:gridSpan w:val="4"/>
            <w:vMerge w:val="restart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Здійснено заходи у 2015 році (га)</w:t>
            </w:r>
          </w:p>
        </w:tc>
      </w:tr>
      <w:tr w:rsidR="00021060" w:rsidRPr="00D44680" w:rsidTr="00712880">
        <w:trPr>
          <w:trHeight w:val="825"/>
        </w:trPr>
        <w:tc>
          <w:tcPr>
            <w:tcW w:w="1951" w:type="dxa"/>
            <w:gridSpan w:val="2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станом на 01.01.2001, передбачених для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станом на 01.01.2016, передбачених для</w:t>
            </w:r>
          </w:p>
        </w:tc>
        <w:tc>
          <w:tcPr>
            <w:tcW w:w="5386" w:type="dxa"/>
            <w:gridSpan w:val="4"/>
            <w:vMerge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</w:p>
        </w:tc>
      </w:tr>
      <w:tr w:rsidR="00021060" w:rsidRPr="00D44680" w:rsidTr="00712880">
        <w:tc>
          <w:tcPr>
            <w:tcW w:w="975" w:type="dxa"/>
            <w:vMerge w:val="restart"/>
            <w:shd w:val="clear" w:color="auto" w:fill="auto"/>
            <w:vAlign w:val="center"/>
          </w:tcPr>
          <w:p w:rsidR="00021060" w:rsidRPr="00D44680" w:rsidRDefault="00021060" w:rsidP="00712880">
            <w:pPr>
              <w:tabs>
                <w:tab w:val="left" w:pos="1385"/>
                <w:tab w:val="left" w:pos="1897"/>
              </w:tabs>
              <w:jc w:val="both"/>
            </w:pPr>
            <w:r w:rsidRPr="00D44680">
              <w:t>консервації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рекультивації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1060" w:rsidRPr="00D44680" w:rsidRDefault="00021060" w:rsidP="00712880">
            <w:pPr>
              <w:tabs>
                <w:tab w:val="left" w:pos="1385"/>
                <w:tab w:val="left" w:pos="1897"/>
              </w:tabs>
              <w:jc w:val="both"/>
            </w:pPr>
            <w:r w:rsidRPr="00D44680">
              <w:t>консервації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рекультивації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законсервовано, </w:t>
            </w:r>
          </w:p>
          <w:p w:rsidR="00021060" w:rsidRPr="00D44680" w:rsidRDefault="00021060" w:rsidP="00712880">
            <w:pPr>
              <w:jc w:val="center"/>
            </w:pPr>
            <w:r w:rsidRPr="00D44680">
              <w:t>у т. ч. шляхом</w:t>
            </w:r>
          </w:p>
        </w:tc>
        <w:tc>
          <w:tcPr>
            <w:tcW w:w="3127" w:type="dxa"/>
            <w:gridSpan w:val="2"/>
            <w:vMerge w:val="restart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рекультивовано</w:t>
            </w:r>
          </w:p>
          <w:p w:rsidR="00021060" w:rsidRPr="00D44680" w:rsidRDefault="00021060" w:rsidP="00712880">
            <w:pPr>
              <w:jc w:val="center"/>
            </w:pPr>
          </w:p>
        </w:tc>
      </w:tr>
      <w:tr w:rsidR="00021060" w:rsidRPr="00D44680" w:rsidTr="00712880">
        <w:tc>
          <w:tcPr>
            <w:tcW w:w="975" w:type="dxa"/>
            <w:vMerge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залуження </w:t>
            </w:r>
          </w:p>
        </w:tc>
        <w:tc>
          <w:tcPr>
            <w:tcW w:w="1125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заліснення</w:t>
            </w:r>
          </w:p>
        </w:tc>
        <w:tc>
          <w:tcPr>
            <w:tcW w:w="3127" w:type="dxa"/>
            <w:gridSpan w:val="2"/>
            <w:vMerge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</w:p>
        </w:tc>
      </w:tr>
      <w:tr w:rsidR="00021060" w:rsidRPr="00D44680" w:rsidTr="00712880">
        <w:tc>
          <w:tcPr>
            <w:tcW w:w="975" w:type="dxa"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  <w:r w:rsidRPr="00D44680"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  <w:r w:rsidRPr="00D446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1060" w:rsidRPr="00712880" w:rsidRDefault="00021060" w:rsidP="00712880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2880">
              <w:rPr>
                <w:sz w:val="28"/>
                <w:szCs w:val="28"/>
              </w:rPr>
              <w:t>9435,38</w:t>
            </w:r>
          </w:p>
        </w:tc>
        <w:tc>
          <w:tcPr>
            <w:tcW w:w="1276" w:type="dxa"/>
            <w:shd w:val="clear" w:color="auto" w:fill="auto"/>
          </w:tcPr>
          <w:p w:rsidR="00021060" w:rsidRPr="00D44680" w:rsidRDefault="00021060" w:rsidP="00712880">
            <w:pPr>
              <w:ind w:left="34" w:hanging="34"/>
              <w:jc w:val="center"/>
              <w:rPr>
                <w:sz w:val="28"/>
                <w:szCs w:val="28"/>
              </w:rPr>
            </w:pPr>
            <w:r w:rsidRPr="00D44680">
              <w:rPr>
                <w:sz w:val="28"/>
                <w:szCs w:val="28"/>
              </w:rPr>
              <w:t>3133,82</w:t>
            </w:r>
          </w:p>
        </w:tc>
        <w:tc>
          <w:tcPr>
            <w:tcW w:w="1134" w:type="dxa"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  <w:r w:rsidRPr="00D446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  <w:r w:rsidRPr="00D44680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1060" w:rsidRPr="00316148" w:rsidRDefault="00021060" w:rsidP="00021060">
      <w:pPr>
        <w:jc w:val="both"/>
        <w:rPr>
          <w:sz w:val="10"/>
          <w:szCs w:val="10"/>
        </w:rPr>
      </w:pPr>
    </w:p>
    <w:p w:rsidR="00021060" w:rsidRPr="00BA624C" w:rsidRDefault="00021060" w:rsidP="00021060">
      <w:pPr>
        <w:numPr>
          <w:ilvl w:val="1"/>
          <w:numId w:val="3"/>
        </w:numPr>
        <w:ind w:left="0" w:firstLine="567"/>
        <w:rPr>
          <w:sz w:val="28"/>
          <w:szCs w:val="28"/>
        </w:rPr>
      </w:pPr>
      <w:r w:rsidRPr="00BA624C">
        <w:rPr>
          <w:sz w:val="28"/>
          <w:szCs w:val="28"/>
        </w:rPr>
        <w:t>Заходи щодо охорони та відтворення водних ресурсів</w:t>
      </w:r>
    </w:p>
    <w:p w:rsidR="00021060" w:rsidRDefault="00021060" w:rsidP="00021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рахунок коштів обласного фонду охорони навколишнього середовища в 2009-2011 роках було р</w:t>
      </w:r>
      <w:r w:rsidRPr="0031443D">
        <w:rPr>
          <w:sz w:val="28"/>
          <w:szCs w:val="28"/>
        </w:rPr>
        <w:t>озроб</w:t>
      </w:r>
      <w:r>
        <w:rPr>
          <w:sz w:val="28"/>
          <w:szCs w:val="28"/>
        </w:rPr>
        <w:t>лено</w:t>
      </w:r>
      <w:r w:rsidRPr="0031443D">
        <w:rPr>
          <w:sz w:val="28"/>
          <w:szCs w:val="28"/>
        </w:rPr>
        <w:t xml:space="preserve"> </w:t>
      </w:r>
      <w:r>
        <w:rPr>
          <w:sz w:val="28"/>
          <w:szCs w:val="28"/>
        </w:rPr>
        <w:t>та винесен</w:t>
      </w:r>
      <w:r w:rsidR="00553D74">
        <w:rPr>
          <w:sz w:val="28"/>
          <w:szCs w:val="28"/>
        </w:rPr>
        <w:t>о</w:t>
      </w:r>
      <w:r>
        <w:rPr>
          <w:sz w:val="28"/>
          <w:szCs w:val="28"/>
        </w:rPr>
        <w:t xml:space="preserve"> в натуру проекти</w:t>
      </w:r>
      <w:r w:rsidRPr="0031443D">
        <w:rPr>
          <w:sz w:val="28"/>
          <w:szCs w:val="28"/>
        </w:rPr>
        <w:t xml:space="preserve"> землеустрою щодо визначення меж та розмірів прибережн</w:t>
      </w:r>
      <w:r>
        <w:rPr>
          <w:sz w:val="28"/>
          <w:szCs w:val="28"/>
        </w:rPr>
        <w:t>их</w:t>
      </w:r>
      <w:r w:rsidRPr="0031443D">
        <w:rPr>
          <w:sz w:val="28"/>
          <w:szCs w:val="28"/>
        </w:rPr>
        <w:t xml:space="preserve"> захисн</w:t>
      </w:r>
      <w:r>
        <w:rPr>
          <w:sz w:val="28"/>
          <w:szCs w:val="28"/>
        </w:rPr>
        <w:t>их</w:t>
      </w:r>
      <w:r w:rsidRPr="0031443D">
        <w:rPr>
          <w:sz w:val="28"/>
          <w:szCs w:val="28"/>
        </w:rPr>
        <w:t xml:space="preserve"> смуг вз</w:t>
      </w:r>
      <w:r>
        <w:rPr>
          <w:sz w:val="28"/>
          <w:szCs w:val="28"/>
        </w:rPr>
        <w:t xml:space="preserve">довж річок Стрижень (185,8 тис. грн) та </w:t>
      </w:r>
      <w:r w:rsidRPr="00D53240">
        <w:rPr>
          <w:sz w:val="28"/>
          <w:szCs w:val="28"/>
        </w:rPr>
        <w:t>Десна</w:t>
      </w:r>
      <w:r>
        <w:rPr>
          <w:sz w:val="28"/>
          <w:szCs w:val="28"/>
        </w:rPr>
        <w:t xml:space="preserve"> (180,9 тис. грн) в межах їх </w:t>
      </w:r>
      <w:r w:rsidRPr="0031443D">
        <w:rPr>
          <w:sz w:val="28"/>
          <w:szCs w:val="28"/>
        </w:rPr>
        <w:t>водоохоронн</w:t>
      </w:r>
      <w:r>
        <w:rPr>
          <w:sz w:val="28"/>
          <w:szCs w:val="28"/>
        </w:rPr>
        <w:t>их</w:t>
      </w:r>
      <w:r w:rsidRPr="0031443D">
        <w:rPr>
          <w:sz w:val="28"/>
          <w:szCs w:val="28"/>
        </w:rPr>
        <w:t xml:space="preserve"> зон на території міста Чернігова</w:t>
      </w:r>
      <w:r>
        <w:rPr>
          <w:sz w:val="28"/>
          <w:szCs w:val="28"/>
        </w:rPr>
        <w:t>.</w:t>
      </w:r>
    </w:p>
    <w:p w:rsidR="00712880" w:rsidRDefault="00712880" w:rsidP="00021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Охорона та відтворення водних ресурсів.</w:t>
      </w:r>
    </w:p>
    <w:p w:rsidR="00712880" w:rsidRPr="00CC3026" w:rsidRDefault="00712880" w:rsidP="00021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 встановлення водоохоронних зон на замовлення водогосподарських організацій Деснянського БУВР не виготовлялись. </w:t>
      </w:r>
    </w:p>
    <w:p w:rsidR="00021060" w:rsidRPr="00D44680" w:rsidRDefault="00021060" w:rsidP="00021060">
      <w:pPr>
        <w:ind w:firstLine="567"/>
        <w:jc w:val="both"/>
        <w:rPr>
          <w:sz w:val="28"/>
          <w:szCs w:val="28"/>
        </w:rPr>
      </w:pPr>
      <w:r w:rsidRPr="00D44680">
        <w:rPr>
          <w:sz w:val="28"/>
          <w:szCs w:val="28"/>
        </w:rPr>
        <w:t>3.6.1. Площа водоохоронних зон і прибережних захисних смуг, на території яких розроблено проекти землеустрою щодо встановлення цих зон</w:t>
      </w:r>
    </w:p>
    <w:p w:rsidR="00021060" w:rsidRPr="00316148" w:rsidRDefault="00021060" w:rsidP="00021060">
      <w:pPr>
        <w:ind w:firstLine="567"/>
        <w:jc w:val="both"/>
        <w:rPr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358"/>
        <w:gridCol w:w="2092"/>
        <w:gridCol w:w="2835"/>
      </w:tblGrid>
      <w:tr w:rsidR="00021060" w:rsidRPr="00D44680" w:rsidTr="00712880">
        <w:tc>
          <w:tcPr>
            <w:tcW w:w="2645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21060" w:rsidRPr="00D44680" w:rsidRDefault="00021060" w:rsidP="00712880">
            <w:pPr>
              <w:jc w:val="center"/>
            </w:pPr>
            <w:r w:rsidRPr="00D44680">
              <w:t>Загальна площа (га)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 xml:space="preserve">Закріплено (встановлено) в натурі у 2015 році (га)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Всього закріплено (встановлено) в натурі, станом на 01.01. 2016 (га)</w:t>
            </w:r>
          </w:p>
        </w:tc>
      </w:tr>
      <w:tr w:rsidR="00021060" w:rsidRPr="00D44680" w:rsidTr="00712880">
        <w:tc>
          <w:tcPr>
            <w:tcW w:w="2645" w:type="dxa"/>
            <w:shd w:val="clear" w:color="auto" w:fill="auto"/>
            <w:vAlign w:val="center"/>
          </w:tcPr>
          <w:p w:rsidR="00021060" w:rsidRPr="00D44680" w:rsidRDefault="00021060" w:rsidP="00712880">
            <w:r w:rsidRPr="00D44680">
              <w:t>Водоохоронних  зон</w:t>
            </w:r>
          </w:p>
        </w:tc>
        <w:tc>
          <w:tcPr>
            <w:tcW w:w="1358" w:type="dxa"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  <w:r w:rsidRPr="00D44680">
              <w:rPr>
                <w:sz w:val="28"/>
                <w:szCs w:val="28"/>
              </w:rPr>
              <w:t>629300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  <w:r w:rsidRPr="00D44680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  <w:rPr>
                <w:sz w:val="22"/>
                <w:szCs w:val="22"/>
              </w:rPr>
            </w:pPr>
            <w:r w:rsidRPr="00D44680">
              <w:rPr>
                <w:sz w:val="22"/>
                <w:szCs w:val="22"/>
              </w:rPr>
              <w:t>-</w:t>
            </w:r>
          </w:p>
        </w:tc>
      </w:tr>
      <w:tr w:rsidR="00021060" w:rsidRPr="00D44680" w:rsidTr="00712880">
        <w:tc>
          <w:tcPr>
            <w:tcW w:w="2645" w:type="dxa"/>
            <w:shd w:val="clear" w:color="auto" w:fill="auto"/>
            <w:vAlign w:val="center"/>
          </w:tcPr>
          <w:p w:rsidR="00021060" w:rsidRPr="00D44680" w:rsidRDefault="00021060" w:rsidP="00712880">
            <w:r w:rsidRPr="00D44680">
              <w:t xml:space="preserve">Прибережних захисних смуг навколо водних об’єктів </w:t>
            </w:r>
          </w:p>
        </w:tc>
        <w:tc>
          <w:tcPr>
            <w:tcW w:w="1358" w:type="dxa"/>
            <w:shd w:val="clear" w:color="auto" w:fill="auto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  <w:r w:rsidRPr="00D44680">
              <w:rPr>
                <w:sz w:val="28"/>
                <w:szCs w:val="28"/>
              </w:rPr>
              <w:t>100200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</w:pPr>
            <w:r w:rsidRPr="00D44680"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060" w:rsidRPr="00D44680" w:rsidRDefault="00021060" w:rsidP="00712880">
            <w:pPr>
              <w:jc w:val="center"/>
              <w:rPr>
                <w:sz w:val="28"/>
                <w:szCs w:val="28"/>
              </w:rPr>
            </w:pPr>
            <w:r w:rsidRPr="00D44680">
              <w:rPr>
                <w:sz w:val="28"/>
                <w:szCs w:val="28"/>
              </w:rPr>
              <w:t>-</w:t>
            </w:r>
          </w:p>
        </w:tc>
      </w:tr>
    </w:tbl>
    <w:p w:rsidR="00021060" w:rsidRDefault="00021060" w:rsidP="00021060">
      <w:pPr>
        <w:jc w:val="both"/>
        <w:rPr>
          <w:sz w:val="28"/>
          <w:szCs w:val="28"/>
        </w:rPr>
      </w:pPr>
    </w:p>
    <w:p w:rsidR="00021060" w:rsidRPr="008731FF" w:rsidRDefault="00021060" w:rsidP="0002106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731FF">
        <w:rPr>
          <w:b/>
          <w:sz w:val="28"/>
          <w:szCs w:val="28"/>
        </w:rPr>
        <w:t>Організація спільних транскордонних елементів</w:t>
      </w:r>
      <w:r>
        <w:rPr>
          <w:b/>
          <w:sz w:val="28"/>
          <w:szCs w:val="28"/>
        </w:rPr>
        <w:t xml:space="preserve"> національної</w:t>
      </w:r>
      <w:r w:rsidRPr="008731FF">
        <w:rPr>
          <w:b/>
          <w:sz w:val="28"/>
          <w:szCs w:val="28"/>
        </w:rPr>
        <w:t xml:space="preserve"> </w:t>
      </w:r>
      <w:proofErr w:type="spellStart"/>
      <w:r w:rsidRPr="008731FF">
        <w:rPr>
          <w:b/>
          <w:sz w:val="28"/>
          <w:szCs w:val="28"/>
        </w:rPr>
        <w:t>екомережі</w:t>
      </w:r>
      <w:proofErr w:type="spellEnd"/>
      <w:r w:rsidRPr="008731FF">
        <w:rPr>
          <w:b/>
          <w:sz w:val="28"/>
          <w:szCs w:val="28"/>
        </w:rPr>
        <w:t xml:space="preserve"> та Всеєвропейської </w:t>
      </w:r>
      <w:proofErr w:type="spellStart"/>
      <w:r w:rsidRPr="008731FF">
        <w:rPr>
          <w:b/>
          <w:sz w:val="28"/>
          <w:szCs w:val="28"/>
        </w:rPr>
        <w:t>екомережі</w:t>
      </w:r>
      <w:proofErr w:type="spellEnd"/>
    </w:p>
    <w:p w:rsidR="00021060" w:rsidRPr="009A063B" w:rsidRDefault="00021060" w:rsidP="00021060">
      <w:pPr>
        <w:rPr>
          <w:b/>
          <w:color w:val="FF0000"/>
          <w:sz w:val="16"/>
          <w:szCs w:val="16"/>
        </w:rPr>
      </w:pPr>
    </w:p>
    <w:p w:rsidR="00021060" w:rsidRPr="00EA5189" w:rsidRDefault="00021060" w:rsidP="00021060">
      <w:pPr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EA5189">
        <w:rPr>
          <w:sz w:val="28"/>
          <w:szCs w:val="28"/>
        </w:rPr>
        <w:t xml:space="preserve">Структурні елементи національної </w:t>
      </w:r>
      <w:proofErr w:type="spellStart"/>
      <w:r w:rsidRPr="00EA5189">
        <w:rPr>
          <w:sz w:val="28"/>
          <w:szCs w:val="28"/>
        </w:rPr>
        <w:t>екомережі</w:t>
      </w:r>
      <w:proofErr w:type="spellEnd"/>
      <w:r w:rsidRPr="00EA5189">
        <w:rPr>
          <w:sz w:val="28"/>
          <w:szCs w:val="28"/>
        </w:rPr>
        <w:t xml:space="preserve"> на території Чернігівської області забезпечують цілісність </w:t>
      </w:r>
      <w:proofErr w:type="spellStart"/>
      <w:r w:rsidRPr="00EA5189">
        <w:rPr>
          <w:sz w:val="28"/>
          <w:szCs w:val="28"/>
        </w:rPr>
        <w:t>екомереж</w:t>
      </w:r>
      <w:proofErr w:type="spellEnd"/>
      <w:r w:rsidRPr="00EA5189">
        <w:rPr>
          <w:sz w:val="28"/>
          <w:szCs w:val="28"/>
        </w:rPr>
        <w:t xml:space="preserve"> Сумської, Київської областей.</w:t>
      </w:r>
    </w:p>
    <w:p w:rsidR="00021060" w:rsidRDefault="00021060" w:rsidP="000210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2014 році, за</w:t>
      </w:r>
      <w:r w:rsidRPr="00D30C9B">
        <w:rPr>
          <w:sz w:val="28"/>
          <w:szCs w:val="28"/>
        </w:rPr>
        <w:t xml:space="preserve"> спі</w:t>
      </w:r>
      <w:r>
        <w:rPr>
          <w:sz w:val="28"/>
          <w:szCs w:val="28"/>
        </w:rPr>
        <w:t>льним опрацюванням з</w:t>
      </w:r>
      <w:r w:rsidRPr="00D30C9B">
        <w:rPr>
          <w:sz w:val="28"/>
          <w:szCs w:val="28"/>
        </w:rPr>
        <w:t xml:space="preserve"> Деснянськ</w:t>
      </w:r>
      <w:r>
        <w:rPr>
          <w:sz w:val="28"/>
          <w:szCs w:val="28"/>
        </w:rPr>
        <w:t>им бас</w:t>
      </w:r>
      <w:r w:rsidRPr="00D30C9B">
        <w:rPr>
          <w:sz w:val="28"/>
          <w:szCs w:val="28"/>
        </w:rPr>
        <w:t>ейнов</w:t>
      </w:r>
      <w:r>
        <w:rPr>
          <w:sz w:val="28"/>
          <w:szCs w:val="28"/>
        </w:rPr>
        <w:t>им</w:t>
      </w:r>
      <w:r w:rsidRPr="00D30C9B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м </w:t>
      </w:r>
      <w:r w:rsidRPr="00D30C9B">
        <w:rPr>
          <w:sz w:val="28"/>
          <w:szCs w:val="28"/>
        </w:rPr>
        <w:t>водних ресурсів та Головн</w:t>
      </w:r>
      <w:r>
        <w:rPr>
          <w:sz w:val="28"/>
          <w:szCs w:val="28"/>
        </w:rPr>
        <w:t>им</w:t>
      </w:r>
      <w:r w:rsidRPr="00D30C9B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м</w:t>
      </w:r>
      <w:r w:rsidRPr="00D30C9B">
        <w:rPr>
          <w:sz w:val="28"/>
          <w:szCs w:val="28"/>
        </w:rPr>
        <w:t xml:space="preserve"> </w:t>
      </w:r>
      <w:proofErr w:type="spellStart"/>
      <w:r w:rsidRPr="00D30C9B">
        <w:rPr>
          <w:sz w:val="28"/>
          <w:szCs w:val="28"/>
        </w:rPr>
        <w:t>Держземагентства</w:t>
      </w:r>
      <w:proofErr w:type="spellEnd"/>
      <w:r w:rsidRPr="00D30C9B">
        <w:rPr>
          <w:sz w:val="28"/>
          <w:szCs w:val="28"/>
        </w:rPr>
        <w:t xml:space="preserve"> у Чернігівській області </w:t>
      </w:r>
      <w:r>
        <w:rPr>
          <w:sz w:val="28"/>
          <w:szCs w:val="28"/>
        </w:rPr>
        <w:t>Департаментом надана</w:t>
      </w:r>
      <w:r w:rsidRPr="00D30C9B">
        <w:rPr>
          <w:sz w:val="28"/>
          <w:szCs w:val="28"/>
        </w:rPr>
        <w:t xml:space="preserve"> узагальнен</w:t>
      </w:r>
      <w:r>
        <w:rPr>
          <w:sz w:val="28"/>
          <w:szCs w:val="28"/>
        </w:rPr>
        <w:t>а</w:t>
      </w:r>
      <w:r w:rsidRPr="00D30C9B">
        <w:rPr>
          <w:sz w:val="28"/>
          <w:szCs w:val="28"/>
        </w:rPr>
        <w:t xml:space="preserve"> інформаці</w:t>
      </w:r>
      <w:r>
        <w:rPr>
          <w:sz w:val="28"/>
          <w:szCs w:val="28"/>
        </w:rPr>
        <w:t xml:space="preserve">я </w:t>
      </w:r>
      <w:r w:rsidRPr="00031A90">
        <w:rPr>
          <w:sz w:val="28"/>
          <w:szCs w:val="28"/>
        </w:rPr>
        <w:t>Українському товариству охорони птахів</w:t>
      </w:r>
      <w:r w:rsidRPr="00D30C9B">
        <w:rPr>
          <w:sz w:val="28"/>
          <w:szCs w:val="28"/>
        </w:rPr>
        <w:t xml:space="preserve"> щодо землевласників та землекористувачів транскордонного водно-болотного угіддя «Заплава річок Дніпро і Сож» в межах Чернігівського і </w:t>
      </w:r>
      <w:proofErr w:type="spellStart"/>
      <w:r w:rsidRPr="00D30C9B">
        <w:rPr>
          <w:sz w:val="28"/>
          <w:szCs w:val="28"/>
        </w:rPr>
        <w:t>Ріпкинського</w:t>
      </w:r>
      <w:proofErr w:type="spellEnd"/>
      <w:r w:rsidRPr="00D30C9B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 xml:space="preserve"> Чернігівської області.</w:t>
      </w:r>
    </w:p>
    <w:p w:rsidR="00021060" w:rsidRDefault="00021060" w:rsidP="000210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у 2015 році, на виконання листа </w:t>
      </w:r>
      <w:proofErr w:type="spellStart"/>
      <w:r>
        <w:rPr>
          <w:sz w:val="28"/>
          <w:szCs w:val="28"/>
        </w:rPr>
        <w:t>Мінприроди</w:t>
      </w:r>
      <w:proofErr w:type="spellEnd"/>
      <w:r>
        <w:rPr>
          <w:sz w:val="28"/>
          <w:szCs w:val="28"/>
        </w:rPr>
        <w:t>,  проводились роботи по створенню ландшафтного заказника загальнодержавного значення «</w:t>
      </w:r>
      <w:proofErr w:type="spellStart"/>
      <w:r>
        <w:rPr>
          <w:sz w:val="28"/>
          <w:szCs w:val="28"/>
        </w:rPr>
        <w:t>Мурав</w:t>
      </w:r>
      <w:proofErr w:type="spellEnd"/>
      <w:r w:rsidRPr="00480FFF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ївський</w:t>
      </w:r>
      <w:proofErr w:type="spellEnd"/>
      <w:r>
        <w:rPr>
          <w:sz w:val="28"/>
          <w:szCs w:val="28"/>
        </w:rPr>
        <w:t xml:space="preserve">» площею 1500 га в межах </w:t>
      </w:r>
      <w:proofErr w:type="spellStart"/>
      <w:r>
        <w:rPr>
          <w:sz w:val="28"/>
          <w:szCs w:val="28"/>
        </w:rPr>
        <w:t>Грем</w:t>
      </w:r>
      <w:r w:rsidRPr="00480FFF">
        <w:rPr>
          <w:sz w:val="28"/>
          <w:szCs w:val="28"/>
        </w:rPr>
        <w:t>’</w:t>
      </w:r>
      <w:r>
        <w:rPr>
          <w:sz w:val="28"/>
          <w:szCs w:val="28"/>
        </w:rPr>
        <w:t>яцької</w:t>
      </w:r>
      <w:proofErr w:type="spellEnd"/>
      <w:r>
        <w:rPr>
          <w:sz w:val="28"/>
          <w:szCs w:val="28"/>
        </w:rPr>
        <w:t xml:space="preserve"> та Кам</w:t>
      </w:r>
      <w:r w:rsidRPr="00480FFF">
        <w:rPr>
          <w:sz w:val="28"/>
          <w:szCs w:val="28"/>
        </w:rPr>
        <w:t>’янсько-Слобідської сільських рад Новгород-Сіверського району Чернігівської області.</w:t>
      </w:r>
      <w:r>
        <w:rPr>
          <w:sz w:val="28"/>
          <w:szCs w:val="28"/>
        </w:rPr>
        <w:t xml:space="preserve"> </w:t>
      </w:r>
    </w:p>
    <w:p w:rsidR="00021060" w:rsidRPr="00480FFF" w:rsidRDefault="00021060" w:rsidP="000210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Проект створення цього об’єкту розроблений Українським товариством охорони птахів в рамках виконання проекту «Збереження транскордонних водно-болотних угідь Полісся в Білорусі, Росії та Україні» (2012-2014).</w:t>
      </w:r>
    </w:p>
    <w:p w:rsidR="00021060" w:rsidRPr="009A063B" w:rsidRDefault="00021060" w:rsidP="00021060">
      <w:pPr>
        <w:jc w:val="both"/>
        <w:rPr>
          <w:color w:val="FF0000"/>
          <w:sz w:val="16"/>
          <w:szCs w:val="16"/>
        </w:rPr>
      </w:pPr>
      <w:r w:rsidRPr="009A063B">
        <w:rPr>
          <w:b/>
          <w:color w:val="FF0000"/>
          <w:sz w:val="16"/>
          <w:szCs w:val="16"/>
        </w:rPr>
        <w:t xml:space="preserve"> </w:t>
      </w:r>
      <w:r w:rsidRPr="009A063B">
        <w:rPr>
          <w:color w:val="FF0000"/>
          <w:sz w:val="16"/>
          <w:szCs w:val="16"/>
        </w:rPr>
        <w:t xml:space="preserve"> </w:t>
      </w:r>
    </w:p>
    <w:p w:rsidR="00021060" w:rsidRDefault="00021060" w:rsidP="0002106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Забезпечення </w:t>
      </w:r>
      <w:r w:rsidRPr="008731FF">
        <w:rPr>
          <w:b/>
          <w:sz w:val="28"/>
          <w:szCs w:val="28"/>
        </w:rPr>
        <w:t xml:space="preserve">збереження </w:t>
      </w:r>
      <w:proofErr w:type="spellStart"/>
      <w:r w:rsidRPr="008731FF">
        <w:rPr>
          <w:b/>
          <w:sz w:val="28"/>
          <w:szCs w:val="28"/>
        </w:rPr>
        <w:t>біо</w:t>
      </w:r>
      <w:proofErr w:type="spellEnd"/>
      <w:r w:rsidRPr="008731FF">
        <w:rPr>
          <w:b/>
          <w:sz w:val="28"/>
          <w:szCs w:val="28"/>
        </w:rPr>
        <w:t>- та ландшафтного різноманіття</w:t>
      </w:r>
      <w:r>
        <w:rPr>
          <w:b/>
          <w:sz w:val="28"/>
          <w:szCs w:val="28"/>
        </w:rPr>
        <w:t xml:space="preserve">, </w:t>
      </w:r>
    </w:p>
    <w:p w:rsidR="00021060" w:rsidRPr="008731FF" w:rsidRDefault="00021060" w:rsidP="00021060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популяцій видів рослин і тварин</w:t>
      </w:r>
    </w:p>
    <w:p w:rsidR="00021060" w:rsidRPr="002D3EAD" w:rsidRDefault="00021060" w:rsidP="00021060">
      <w:pPr>
        <w:ind w:firstLine="851"/>
        <w:jc w:val="both"/>
        <w:rPr>
          <w:sz w:val="16"/>
          <w:szCs w:val="16"/>
        </w:rPr>
      </w:pPr>
    </w:p>
    <w:p w:rsidR="00021060" w:rsidRDefault="00021060" w:rsidP="000210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Виконано кадастрові та облікові роботи рослинного світу (5,0 тис. грн - 2003 р</w:t>
      </w:r>
      <w:r w:rsidRPr="00FC237B">
        <w:rPr>
          <w:sz w:val="28"/>
          <w:szCs w:val="28"/>
        </w:rPr>
        <w:t>і</w:t>
      </w:r>
      <w:r>
        <w:rPr>
          <w:sz w:val="28"/>
          <w:szCs w:val="28"/>
        </w:rPr>
        <w:t>к); інвентаризація місцезростань видів рослин, занесених до Червоної книги України та рослинних угруповань, занесених до Зеленої книги України (7,0 тис. грн – 2004 рік); ведення державних кадастрів рослинного та тваринного світу (10,0 тис. грн – 2005 рік); витрати на резервування територій для заповідання (99,9 тис. грн – 2014 рік)</w:t>
      </w:r>
    </w:p>
    <w:p w:rsidR="00021060" w:rsidRPr="00F167CC" w:rsidRDefault="00021060" w:rsidP="00021060">
      <w:pPr>
        <w:ind w:firstLine="851"/>
        <w:jc w:val="both"/>
        <w:rPr>
          <w:sz w:val="28"/>
          <w:szCs w:val="28"/>
        </w:rPr>
      </w:pPr>
      <w:r w:rsidRPr="00F167CC">
        <w:rPr>
          <w:sz w:val="28"/>
          <w:szCs w:val="28"/>
        </w:rPr>
        <w:t xml:space="preserve">Серед заходів по збереженню </w:t>
      </w:r>
      <w:proofErr w:type="spellStart"/>
      <w:r w:rsidRPr="00F167CC">
        <w:rPr>
          <w:sz w:val="28"/>
          <w:szCs w:val="28"/>
        </w:rPr>
        <w:t>біо</w:t>
      </w:r>
      <w:proofErr w:type="spellEnd"/>
      <w:r w:rsidRPr="00F167CC">
        <w:rPr>
          <w:sz w:val="28"/>
          <w:szCs w:val="28"/>
        </w:rPr>
        <w:t xml:space="preserve">- та ландшафтного різноманіття основними є заходи пов’язані зі створенням природоохоронних об’єктів.    Протягом  2015 року було створено регіональний ландшафтний парк «Ніжинський», площею 3733,0648 га та </w:t>
      </w:r>
      <w:r>
        <w:rPr>
          <w:sz w:val="28"/>
          <w:szCs w:val="28"/>
        </w:rPr>
        <w:t>р</w:t>
      </w:r>
      <w:r w:rsidRPr="00F167CC">
        <w:rPr>
          <w:sz w:val="28"/>
          <w:szCs w:val="28"/>
        </w:rPr>
        <w:t>озширено його межі на 2389,6343 га. Загальна площа парку становить 6122,6991 га</w:t>
      </w:r>
      <w:r>
        <w:rPr>
          <w:sz w:val="28"/>
          <w:szCs w:val="28"/>
        </w:rPr>
        <w:t>.</w:t>
      </w:r>
    </w:p>
    <w:p w:rsidR="00021060" w:rsidRPr="002D3EAD" w:rsidRDefault="00021060" w:rsidP="00021060">
      <w:pPr>
        <w:ind w:firstLine="851"/>
        <w:jc w:val="both"/>
      </w:pPr>
    </w:p>
    <w:p w:rsidR="00021060" w:rsidRPr="008731FF" w:rsidRDefault="00021060" w:rsidP="00021060">
      <w:pPr>
        <w:jc w:val="center"/>
        <w:rPr>
          <w:sz w:val="28"/>
          <w:szCs w:val="28"/>
        </w:rPr>
      </w:pPr>
      <w:r w:rsidRPr="008731FF">
        <w:rPr>
          <w:b/>
          <w:sz w:val="28"/>
          <w:szCs w:val="28"/>
        </w:rPr>
        <w:t>6. Заходи щодо охорони та збереження водно-болотних угідь</w:t>
      </w:r>
    </w:p>
    <w:p w:rsidR="00021060" w:rsidRPr="009A063B" w:rsidRDefault="00021060" w:rsidP="00021060">
      <w:pPr>
        <w:jc w:val="both"/>
        <w:rPr>
          <w:color w:val="FF0000"/>
          <w:sz w:val="16"/>
          <w:szCs w:val="16"/>
        </w:rPr>
      </w:pPr>
    </w:p>
    <w:p w:rsidR="00021060" w:rsidRDefault="00021060" w:rsidP="0002106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 сьогодні більшість цінних водно-болотних угідь Чернігівської області входить до складу природно-заповідного фонду. Переважна більшість гідрологічних заказників та пам’яток природи (264 заказники та 29 пам’яток природи) створена з метою збереження унікальних та типових водно-болотних масивів. Їх площа, понад 60 тис. га, складає близько 30 % від загальної площі природно-заповідного фонду області.  </w:t>
      </w:r>
    </w:p>
    <w:p w:rsidR="00021060" w:rsidRDefault="00021060" w:rsidP="00021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Всесвітнього дня водно-болотних угідь питання збереження водно-болотних угідь широко висвітлене в засобах масової інформації.  </w:t>
      </w:r>
    </w:p>
    <w:p w:rsidR="00021060" w:rsidRPr="002D39AA" w:rsidRDefault="00021060" w:rsidP="00021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Вивчається питання щодо надання статусу водно-болотних угідь міжнародного значення </w:t>
      </w:r>
      <w:r w:rsidRPr="002D39AA">
        <w:rPr>
          <w:sz w:val="28"/>
          <w:szCs w:val="28"/>
        </w:rPr>
        <w:t xml:space="preserve">басейну р. Десни поблизу </w:t>
      </w:r>
      <w:r>
        <w:rPr>
          <w:sz w:val="28"/>
          <w:szCs w:val="28"/>
        </w:rPr>
        <w:t xml:space="preserve">від кордону України з Російською федерацією на території Чернігівської та Сумської областей. </w:t>
      </w:r>
      <w:r w:rsidRPr="002D39AA">
        <w:rPr>
          <w:sz w:val="28"/>
          <w:szCs w:val="28"/>
        </w:rPr>
        <w:t xml:space="preserve">До складу угіддя входять: широка заплаву р. Десни з численними старицями, заплавними озерами з розвинутою </w:t>
      </w:r>
      <w:proofErr w:type="spellStart"/>
      <w:r w:rsidRPr="002D39AA">
        <w:rPr>
          <w:sz w:val="28"/>
          <w:szCs w:val="28"/>
        </w:rPr>
        <w:t>прибережно</w:t>
      </w:r>
      <w:proofErr w:type="spellEnd"/>
      <w:r w:rsidRPr="002D39AA">
        <w:rPr>
          <w:sz w:val="28"/>
          <w:szCs w:val="28"/>
        </w:rPr>
        <w:t>-водною рослинністю, торфовими болотами і луками, невеличкими ділянками заплавних лісів</w:t>
      </w:r>
    </w:p>
    <w:p w:rsidR="00021060" w:rsidRPr="002D3EAD" w:rsidRDefault="00021060" w:rsidP="00021060">
      <w:pPr>
        <w:pStyle w:val="a4"/>
        <w:jc w:val="center"/>
        <w:rPr>
          <w:b/>
          <w:sz w:val="24"/>
        </w:rPr>
      </w:pPr>
    </w:p>
    <w:p w:rsidR="00021060" w:rsidRPr="008731FF" w:rsidRDefault="00021060" w:rsidP="00021060">
      <w:pPr>
        <w:pStyle w:val="a4"/>
        <w:jc w:val="center"/>
        <w:rPr>
          <w:b/>
          <w:szCs w:val="28"/>
        </w:rPr>
      </w:pPr>
      <w:r w:rsidRPr="008731FF">
        <w:rPr>
          <w:b/>
          <w:szCs w:val="28"/>
        </w:rPr>
        <w:lastRenderedPageBreak/>
        <w:t xml:space="preserve">7.  Реалізація міжнародних проектів спрямованих на збереження  </w:t>
      </w:r>
      <w:proofErr w:type="spellStart"/>
      <w:r w:rsidRPr="008731FF">
        <w:rPr>
          <w:b/>
          <w:szCs w:val="28"/>
        </w:rPr>
        <w:t>біо</w:t>
      </w:r>
      <w:proofErr w:type="spellEnd"/>
      <w:r w:rsidRPr="008731FF">
        <w:rPr>
          <w:b/>
          <w:szCs w:val="28"/>
        </w:rPr>
        <w:t>- та ландшафтного різноманіття</w:t>
      </w:r>
    </w:p>
    <w:p w:rsidR="00021060" w:rsidRDefault="00021060" w:rsidP="00021060">
      <w:pPr>
        <w:pStyle w:val="a4"/>
      </w:pPr>
      <w:r>
        <w:t>У Ніжинському районі Чернігівської області реалізується спільний проект Програми розвитку ООН в Україні та Європейського союзу «</w:t>
      </w:r>
      <w:proofErr w:type="spellStart"/>
      <w:r>
        <w:rPr>
          <w:lang w:val="en-US"/>
        </w:rPr>
        <w:t>Clima</w:t>
      </w:r>
      <w:proofErr w:type="spellEnd"/>
      <w:r w:rsidRPr="0024440F">
        <w:t xml:space="preserve"> </w:t>
      </w:r>
      <w:r>
        <w:rPr>
          <w:lang w:val="en-US"/>
        </w:rPr>
        <w:t>East</w:t>
      </w:r>
      <w:r>
        <w:t>: Збереження та стале використання торфовищ» у рамках якого у 2015 році створений регіональний ландшафтний парк «Ніжинський».</w:t>
      </w:r>
    </w:p>
    <w:p w:rsidR="00021060" w:rsidRPr="002D3EAD" w:rsidRDefault="00021060" w:rsidP="00021060">
      <w:pPr>
        <w:jc w:val="center"/>
        <w:rPr>
          <w:b/>
        </w:rPr>
      </w:pPr>
    </w:p>
    <w:p w:rsidR="00021060" w:rsidRPr="009A063B" w:rsidRDefault="00021060" w:rsidP="00021060">
      <w:pPr>
        <w:jc w:val="center"/>
        <w:rPr>
          <w:b/>
          <w:sz w:val="28"/>
          <w:szCs w:val="28"/>
        </w:rPr>
      </w:pPr>
      <w:r w:rsidRPr="00C145FE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Заходи щодо і</w:t>
      </w:r>
      <w:r w:rsidRPr="00C145FE">
        <w:rPr>
          <w:b/>
          <w:sz w:val="28"/>
          <w:szCs w:val="28"/>
        </w:rPr>
        <w:t xml:space="preserve">нформування про стан </w:t>
      </w:r>
      <w:r>
        <w:rPr>
          <w:b/>
          <w:sz w:val="28"/>
          <w:szCs w:val="28"/>
        </w:rPr>
        <w:t xml:space="preserve">та перспективи формування </w:t>
      </w:r>
      <w:r w:rsidRPr="009A063B">
        <w:rPr>
          <w:b/>
          <w:sz w:val="28"/>
          <w:szCs w:val="28"/>
        </w:rPr>
        <w:t xml:space="preserve">національної </w:t>
      </w:r>
      <w:proofErr w:type="spellStart"/>
      <w:r w:rsidRPr="009A063B">
        <w:rPr>
          <w:b/>
          <w:sz w:val="28"/>
          <w:szCs w:val="28"/>
        </w:rPr>
        <w:t>екомережі</w:t>
      </w:r>
      <w:proofErr w:type="spellEnd"/>
      <w:r w:rsidRPr="009A063B">
        <w:rPr>
          <w:b/>
          <w:sz w:val="28"/>
          <w:szCs w:val="28"/>
        </w:rPr>
        <w:t>, участь громадськості в її формуванні</w:t>
      </w:r>
    </w:p>
    <w:p w:rsidR="00021060" w:rsidRPr="009A063B" w:rsidRDefault="00021060" w:rsidP="00021060">
      <w:pPr>
        <w:ind w:firstLine="720"/>
        <w:jc w:val="both"/>
        <w:rPr>
          <w:color w:val="FF0000"/>
          <w:sz w:val="16"/>
          <w:szCs w:val="16"/>
        </w:rPr>
      </w:pPr>
      <w:r w:rsidRPr="009A063B">
        <w:rPr>
          <w:color w:val="FF0000"/>
          <w:sz w:val="16"/>
          <w:szCs w:val="16"/>
        </w:rPr>
        <w:t xml:space="preserve"> </w:t>
      </w:r>
    </w:p>
    <w:p w:rsidR="00391207" w:rsidRPr="00391207" w:rsidRDefault="00021060" w:rsidP="00363851">
      <w:pPr>
        <w:ind w:firstLine="720"/>
        <w:jc w:val="both"/>
        <w:rPr>
          <w:sz w:val="28"/>
          <w:szCs w:val="28"/>
        </w:rPr>
      </w:pPr>
      <w:r w:rsidRPr="008731FF">
        <w:rPr>
          <w:sz w:val="28"/>
          <w:szCs w:val="28"/>
        </w:rPr>
        <w:t xml:space="preserve">З метою інформування громадськості щодо мети і завдань розбудови екологічної мережі були проведені виступи в засобах масової інформації, </w:t>
      </w:r>
      <w:r w:rsidRPr="00391207">
        <w:rPr>
          <w:sz w:val="28"/>
          <w:szCs w:val="28"/>
        </w:rPr>
        <w:t xml:space="preserve">зустрічі з громадськістю, круглі столи. </w:t>
      </w:r>
    </w:p>
    <w:p w:rsidR="00391207" w:rsidRPr="00391207" w:rsidRDefault="00391207" w:rsidP="00363851">
      <w:pPr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391207">
        <w:rPr>
          <w:color w:val="333333"/>
          <w:sz w:val="28"/>
          <w:szCs w:val="28"/>
          <w:shd w:val="clear" w:color="auto" w:fill="FFFFFF"/>
        </w:rPr>
        <w:t>07 липня 2015 року проведено засідання «за круглим столом», присвячене Дню працівника природно-заповідної справи, на якому обговорювались питання щодо екологічного туризму та розвитку природно-заповідної справи Чернігівської області.</w:t>
      </w:r>
    </w:p>
    <w:p w:rsidR="00391207" w:rsidRPr="00391207" w:rsidRDefault="00391207" w:rsidP="00363851">
      <w:pPr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391207">
        <w:rPr>
          <w:color w:val="333333"/>
          <w:sz w:val="28"/>
          <w:szCs w:val="28"/>
          <w:shd w:val="clear" w:color="auto" w:fill="FFFFFF"/>
        </w:rPr>
        <w:t xml:space="preserve">В засіданні взяли участь голова Ніжинської райради, представники Департаменту культури і туризму, національностей та релігій Чернігівської облдержадміністрації, </w:t>
      </w:r>
      <w:proofErr w:type="spellStart"/>
      <w:r w:rsidRPr="00391207">
        <w:rPr>
          <w:color w:val="333333"/>
          <w:sz w:val="28"/>
          <w:szCs w:val="28"/>
          <w:shd w:val="clear" w:color="auto" w:fill="FFFFFF"/>
        </w:rPr>
        <w:t>Держекоінспекції</w:t>
      </w:r>
      <w:proofErr w:type="spellEnd"/>
      <w:r w:rsidRPr="00391207">
        <w:rPr>
          <w:color w:val="333333"/>
          <w:sz w:val="28"/>
          <w:szCs w:val="28"/>
          <w:shd w:val="clear" w:color="auto" w:fill="FFFFFF"/>
        </w:rPr>
        <w:t xml:space="preserve"> у Чернігівській області, Управління агропромислового розвитку Чернігівської райдержадміністрації, національних і регіональних природних парків, науковці та громадські організації. </w:t>
      </w:r>
    </w:p>
    <w:p w:rsidR="00021060" w:rsidRDefault="00021060" w:rsidP="00363851">
      <w:pPr>
        <w:ind w:firstLine="720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Відповідно до Плану заходів Департаменту екології та природних</w:t>
      </w:r>
      <w:r w:rsidRPr="002D3EAD">
        <w:rPr>
          <w:sz w:val="28"/>
          <w:szCs w:val="28"/>
        </w:rPr>
        <w:t xml:space="preserve"> ресурсів Чернігівської облдержадміністрації з виконання покладених завдань 07 липня 2014 року відбулось засідання за «круглим столом» на тему «Щодо розвитку заповідної справи Чернігівської області» за участю представників </w:t>
      </w:r>
      <w:proofErr w:type="spellStart"/>
      <w:r w:rsidRPr="002D3EAD">
        <w:rPr>
          <w:sz w:val="28"/>
          <w:szCs w:val="28"/>
        </w:rPr>
        <w:t>Держекоінспекції</w:t>
      </w:r>
      <w:proofErr w:type="spellEnd"/>
      <w:r w:rsidRPr="002D3EAD">
        <w:rPr>
          <w:sz w:val="28"/>
          <w:szCs w:val="28"/>
        </w:rPr>
        <w:t xml:space="preserve"> у Чернігівській області, обласного управління лісового та мисливського господарства, науковців </w:t>
      </w:r>
      <w:proofErr w:type="spellStart"/>
      <w:r w:rsidRPr="002D3EAD">
        <w:rPr>
          <w:sz w:val="28"/>
          <w:szCs w:val="28"/>
        </w:rPr>
        <w:t>Мезинського</w:t>
      </w:r>
      <w:proofErr w:type="spellEnd"/>
      <w:r w:rsidRPr="002D3EAD">
        <w:rPr>
          <w:sz w:val="28"/>
          <w:szCs w:val="28"/>
        </w:rPr>
        <w:t xml:space="preserve"> національного природного парку, зацікавлена громадськість, регіональні мас-медіа.</w:t>
      </w:r>
    </w:p>
    <w:p w:rsidR="00363851" w:rsidRPr="00363851" w:rsidRDefault="00363851" w:rsidP="00363851">
      <w:pPr>
        <w:pStyle w:val="1"/>
        <w:spacing w:before="0"/>
        <w:ind w:right="58"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3851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D30A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вересня </w:t>
      </w:r>
      <w:r w:rsidRPr="00363851">
        <w:rPr>
          <w:rFonts w:ascii="Times New Roman" w:eastAsia="Times New Roman" w:hAnsi="Times New Roman" w:cs="Times New Roman"/>
          <w:color w:val="auto"/>
          <w:sz w:val="28"/>
          <w:szCs w:val="28"/>
        </w:rPr>
        <w:t>2014</w:t>
      </w:r>
      <w:r w:rsidR="00D30A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року</w:t>
      </w:r>
      <w:r w:rsidRPr="00363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проведено засідання за «круглим столом» «Шляхи збереження дикої природи Чернігівщини» за участю представників обласного управління охорони, використання і відтворення водних біоресурсів та регулювання рибальства, </w:t>
      </w:r>
      <w:proofErr w:type="spellStart"/>
      <w:r w:rsidRPr="00363851">
        <w:rPr>
          <w:rFonts w:ascii="Times New Roman" w:eastAsia="Times New Roman" w:hAnsi="Times New Roman" w:cs="Times New Roman"/>
          <w:color w:val="auto"/>
          <w:sz w:val="28"/>
          <w:szCs w:val="28"/>
        </w:rPr>
        <w:t>Держекоінспекції</w:t>
      </w:r>
      <w:proofErr w:type="spellEnd"/>
      <w:r w:rsidRPr="00363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Чернігівській області, науковців та студентів Національного ЧНПУ ім. </w:t>
      </w:r>
      <w:proofErr w:type="spellStart"/>
      <w:r w:rsidRPr="00363851">
        <w:rPr>
          <w:rFonts w:ascii="Times New Roman" w:eastAsia="Times New Roman" w:hAnsi="Times New Roman" w:cs="Times New Roman"/>
          <w:color w:val="auto"/>
          <w:sz w:val="28"/>
          <w:szCs w:val="28"/>
        </w:rPr>
        <w:t>Т.Г.Шевченка</w:t>
      </w:r>
      <w:proofErr w:type="spellEnd"/>
      <w:r w:rsidRPr="00363851">
        <w:rPr>
          <w:rFonts w:ascii="Times New Roman" w:eastAsia="Times New Roman" w:hAnsi="Times New Roman" w:cs="Times New Roman"/>
          <w:color w:val="auto"/>
          <w:sz w:val="28"/>
          <w:szCs w:val="28"/>
        </w:rPr>
        <w:t>, регіональних мас-медіа.</w:t>
      </w:r>
    </w:p>
    <w:p w:rsidR="00021060" w:rsidRPr="00021060" w:rsidRDefault="00021060" w:rsidP="00021060">
      <w:pPr>
        <w:pStyle w:val="1"/>
        <w:spacing w:before="0"/>
        <w:ind w:firstLine="9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21060">
        <w:rPr>
          <w:rFonts w:ascii="Times New Roman" w:hAnsi="Times New Roman" w:cs="Times New Roman"/>
          <w:bCs/>
          <w:color w:val="auto"/>
          <w:sz w:val="28"/>
          <w:szCs w:val="28"/>
        </w:rPr>
        <w:t>На виконання Програми виготовлено інформаційні знаки для об’єктів ПЗФ області.</w:t>
      </w:r>
    </w:p>
    <w:p w:rsidR="00021060" w:rsidRPr="00A146AF" w:rsidRDefault="00021060" w:rsidP="00021060"/>
    <w:p w:rsidR="00021060" w:rsidRDefault="00021060" w:rsidP="00021060">
      <w:pPr>
        <w:ind w:firstLine="709"/>
        <w:jc w:val="center"/>
        <w:rPr>
          <w:b/>
          <w:sz w:val="28"/>
          <w:szCs w:val="28"/>
        </w:rPr>
      </w:pPr>
      <w:r w:rsidRPr="00316148">
        <w:rPr>
          <w:b/>
          <w:sz w:val="28"/>
          <w:szCs w:val="28"/>
        </w:rPr>
        <w:t>9. Проблемні питання</w:t>
      </w:r>
    </w:p>
    <w:p w:rsidR="00021060" w:rsidRPr="00FD6B8D" w:rsidRDefault="00021060" w:rsidP="00021060">
      <w:pPr>
        <w:ind w:firstLine="851"/>
        <w:jc w:val="both"/>
        <w:rPr>
          <w:sz w:val="28"/>
        </w:rPr>
      </w:pPr>
      <w:r w:rsidRPr="00FD6B8D">
        <w:rPr>
          <w:sz w:val="28"/>
        </w:rPr>
        <w:t>На сьогоднішній день основними проблем</w:t>
      </w:r>
      <w:r w:rsidR="004F24B4">
        <w:rPr>
          <w:sz w:val="28"/>
        </w:rPr>
        <w:t xml:space="preserve">ами в функціонуванні </w:t>
      </w:r>
      <w:proofErr w:type="spellStart"/>
      <w:r w:rsidR="004F24B4">
        <w:rPr>
          <w:sz w:val="28"/>
        </w:rPr>
        <w:t>екомережі</w:t>
      </w:r>
      <w:proofErr w:type="spellEnd"/>
      <w:r w:rsidRPr="00FD6B8D">
        <w:rPr>
          <w:sz w:val="28"/>
        </w:rPr>
        <w:t xml:space="preserve"> області залишаю</w:t>
      </w:r>
      <w:r>
        <w:rPr>
          <w:sz w:val="28"/>
        </w:rPr>
        <w:t>ться:</w:t>
      </w:r>
    </w:p>
    <w:p w:rsidR="00021060" w:rsidRDefault="00021060" w:rsidP="00021060">
      <w:pPr>
        <w:spacing w:line="276" w:lineRule="auto"/>
        <w:ind w:firstLine="1091"/>
        <w:jc w:val="both"/>
        <w:rPr>
          <w:sz w:val="28"/>
        </w:rPr>
      </w:pPr>
      <w:r w:rsidRPr="00E24E92">
        <w:rPr>
          <w:sz w:val="28"/>
        </w:rPr>
        <w:t>- повільні темпи встановлення в натурі (на місцевості) меж об’єктів та територій природно-заповідного фонду;</w:t>
      </w:r>
    </w:p>
    <w:p w:rsidR="00391207" w:rsidRDefault="00021060" w:rsidP="00021060">
      <w:pPr>
        <w:spacing w:line="276" w:lineRule="auto"/>
        <w:ind w:firstLine="1091"/>
        <w:jc w:val="both"/>
        <w:rPr>
          <w:sz w:val="28"/>
        </w:rPr>
      </w:pPr>
      <w:r>
        <w:rPr>
          <w:sz w:val="28"/>
        </w:rPr>
        <w:t>- складнощі в отримані погоджень на створення нових об’єктів природно-заповідного фонду</w:t>
      </w:r>
      <w:r w:rsidR="00391207">
        <w:rPr>
          <w:sz w:val="28"/>
        </w:rPr>
        <w:t>;</w:t>
      </w:r>
    </w:p>
    <w:p w:rsidR="00021060" w:rsidRPr="00E24E92" w:rsidRDefault="00391207" w:rsidP="00021060">
      <w:pPr>
        <w:spacing w:line="276" w:lineRule="auto"/>
        <w:ind w:firstLine="1091"/>
        <w:jc w:val="both"/>
        <w:rPr>
          <w:sz w:val="28"/>
        </w:rPr>
      </w:pPr>
      <w:r>
        <w:rPr>
          <w:sz w:val="28"/>
        </w:rPr>
        <w:t xml:space="preserve">- </w:t>
      </w:r>
      <w:r w:rsidR="00BA0DAB" w:rsidRPr="00BA0DAB">
        <w:rPr>
          <w:color w:val="000000"/>
          <w:sz w:val="28"/>
          <w:szCs w:val="28"/>
          <w:shd w:val="clear" w:color="auto" w:fill="FFFFFF" w:themeFill="background1"/>
        </w:rPr>
        <w:t>колізійні ситуації в законодавстві України</w:t>
      </w:r>
      <w:r w:rsidR="00021060">
        <w:rPr>
          <w:sz w:val="28"/>
        </w:rPr>
        <w:t>.</w:t>
      </w:r>
    </w:p>
    <w:p w:rsidR="00021060" w:rsidRDefault="00021060" w:rsidP="005B34B2">
      <w:pPr>
        <w:spacing w:line="360" w:lineRule="auto"/>
        <w:ind w:firstLine="851"/>
        <w:jc w:val="both"/>
        <w:rPr>
          <w:sz w:val="28"/>
          <w:szCs w:val="28"/>
        </w:rPr>
      </w:pPr>
    </w:p>
    <w:sectPr w:rsidR="00021060" w:rsidSect="00754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4CD9"/>
    <w:multiLevelType w:val="multilevel"/>
    <w:tmpl w:val="CB3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24A459BE"/>
    <w:multiLevelType w:val="multilevel"/>
    <w:tmpl w:val="7568B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3EC002C6"/>
    <w:multiLevelType w:val="multilevel"/>
    <w:tmpl w:val="36C45F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75"/>
    <w:rsid w:val="00021060"/>
    <w:rsid w:val="000C513E"/>
    <w:rsid w:val="00214784"/>
    <w:rsid w:val="002E2275"/>
    <w:rsid w:val="00363851"/>
    <w:rsid w:val="00391207"/>
    <w:rsid w:val="0039548D"/>
    <w:rsid w:val="004F24B4"/>
    <w:rsid w:val="00553D74"/>
    <w:rsid w:val="0059035A"/>
    <w:rsid w:val="005B34B2"/>
    <w:rsid w:val="00674A9D"/>
    <w:rsid w:val="00712880"/>
    <w:rsid w:val="00754000"/>
    <w:rsid w:val="00764F58"/>
    <w:rsid w:val="00772D54"/>
    <w:rsid w:val="007E1599"/>
    <w:rsid w:val="008072D1"/>
    <w:rsid w:val="00987196"/>
    <w:rsid w:val="00A46451"/>
    <w:rsid w:val="00B6554B"/>
    <w:rsid w:val="00BA0DAB"/>
    <w:rsid w:val="00C96B36"/>
    <w:rsid w:val="00CC14C6"/>
    <w:rsid w:val="00D12065"/>
    <w:rsid w:val="00D30ACB"/>
    <w:rsid w:val="00D31E59"/>
    <w:rsid w:val="00DC38BA"/>
    <w:rsid w:val="00E227B6"/>
    <w:rsid w:val="00F579B0"/>
    <w:rsid w:val="00F97BE1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24FC0-3C6D-416A-8E7D-BB46DE3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96B36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96B36"/>
    <w:rPr>
      <w:rFonts w:ascii="Times New Roman" w:eastAsia="Times New Roman" w:hAnsi="Times New Roman" w:cs="Times New Roman"/>
      <w:b/>
      <w:spacing w:val="-1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579B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 Indent"/>
    <w:basedOn w:val="a"/>
    <w:link w:val="a5"/>
    <w:rsid w:val="00021060"/>
    <w:pPr>
      <w:ind w:firstLine="90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210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A9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A9D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12880"/>
    <w:pPr>
      <w:ind w:left="720"/>
      <w:contextualSpacing/>
    </w:pPr>
  </w:style>
  <w:style w:type="character" w:styleId="a9">
    <w:name w:val="Strong"/>
    <w:basedOn w:val="a0"/>
    <w:uiPriority w:val="22"/>
    <w:qFormat/>
    <w:rsid w:val="00FE4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3A42-86AA-463C-AC5B-C534919F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7850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2016-04-14T07:10:00Z</cp:lastPrinted>
  <dcterms:created xsi:type="dcterms:W3CDTF">2016-04-29T07:37:00Z</dcterms:created>
  <dcterms:modified xsi:type="dcterms:W3CDTF">2016-04-29T07:42:00Z</dcterms:modified>
</cp:coreProperties>
</file>